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CD8" w:rsidRDefault="00D24CD8" w:rsidP="00D24CD8">
      <w:pPr>
        <w:pStyle w:val="a3"/>
        <w:spacing w:before="0" w:beforeAutospacing="0" w:after="0" w:afterAutospacing="0"/>
        <w:ind w:firstLine="450"/>
        <w:jc w:val="both"/>
        <w:rPr>
          <w:b/>
          <w:sz w:val="22"/>
          <w:szCs w:val="22"/>
          <w:lang w:val="uk-UA"/>
        </w:rPr>
      </w:pPr>
    </w:p>
    <w:p w:rsidR="00BC6968" w:rsidRDefault="00BC6968" w:rsidP="00BC6968">
      <w:pPr>
        <w:pStyle w:val="2"/>
        <w:spacing w:line="240" w:lineRule="auto"/>
        <w:rPr>
          <w:sz w:val="22"/>
        </w:rPr>
      </w:pPr>
      <w:r w:rsidRPr="00955A60">
        <w:rPr>
          <w:sz w:val="22"/>
        </w:rPr>
        <w:t xml:space="preserve">Ви ‒ менеджер комерційного відділу підприємства. Вам запропоновано до розгляду угоди на поставку оргтехніки. За попереднім дослідженням доходність проектів залежить від конкретних ситуаційних характеристик ринку. І саме тому мають місце </w:t>
      </w:r>
      <w:r>
        <w:rPr>
          <w:sz w:val="22"/>
        </w:rPr>
        <w:t>дві</w:t>
      </w:r>
      <w:r w:rsidRPr="00955A60">
        <w:rPr>
          <w:sz w:val="22"/>
        </w:rPr>
        <w:t xml:space="preserve"> рівнозначні ймовірності від реалізації </w:t>
      </w:r>
      <w:r>
        <w:rPr>
          <w:sz w:val="22"/>
        </w:rPr>
        <w:t>угод (таблиця).</w:t>
      </w:r>
      <w:bookmarkStart w:id="0" w:name="_GoBack"/>
      <w:bookmarkEnd w:id="0"/>
    </w:p>
    <w:p w:rsidR="00BC6968" w:rsidRPr="00955A60" w:rsidRDefault="00BC6968" w:rsidP="00BC6968">
      <w:pPr>
        <w:pStyle w:val="2"/>
        <w:spacing w:line="240" w:lineRule="auto"/>
        <w:jc w:val="right"/>
        <w:rPr>
          <w:sz w:val="22"/>
        </w:rPr>
      </w:pPr>
      <w:r>
        <w:rPr>
          <w:sz w:val="22"/>
        </w:rPr>
        <w:t>Таблиця (тис.грн.)</w:t>
      </w:r>
    </w:p>
    <w:tbl>
      <w:tblPr>
        <w:tblStyle w:val="a4"/>
        <w:tblW w:w="9385" w:type="dxa"/>
        <w:tblLayout w:type="fixed"/>
        <w:tblLook w:val="04A0" w:firstRow="1" w:lastRow="0" w:firstColumn="1" w:lastColumn="0" w:noHBand="0" w:noVBand="1"/>
      </w:tblPr>
      <w:tblGrid>
        <w:gridCol w:w="1181"/>
        <w:gridCol w:w="974"/>
        <w:gridCol w:w="1494"/>
        <w:gridCol w:w="1058"/>
        <w:gridCol w:w="1276"/>
        <w:gridCol w:w="992"/>
        <w:gridCol w:w="1276"/>
        <w:gridCol w:w="1134"/>
      </w:tblGrid>
      <w:tr w:rsidR="00BC6968" w:rsidRPr="00955A60" w:rsidTr="00691C92">
        <w:trPr>
          <w:trHeight w:val="261"/>
        </w:trPr>
        <w:tc>
          <w:tcPr>
            <w:tcW w:w="4707" w:type="dxa"/>
            <w:gridSpan w:val="4"/>
          </w:tcPr>
          <w:p w:rsidR="00BC6968" w:rsidRPr="00982A77" w:rsidRDefault="00BC6968" w:rsidP="00691C92">
            <w:pPr>
              <w:jc w:val="center"/>
              <w:rPr>
                <w:sz w:val="22"/>
                <w:szCs w:val="18"/>
                <w:lang w:val="uk-UA"/>
              </w:rPr>
            </w:pPr>
            <w:r w:rsidRPr="00982A77">
              <w:rPr>
                <w:sz w:val="22"/>
                <w:szCs w:val="18"/>
                <w:lang w:val="uk-UA"/>
              </w:rPr>
              <w:t>Ефект від реалізації першої угоди</w:t>
            </w:r>
          </w:p>
        </w:tc>
        <w:tc>
          <w:tcPr>
            <w:tcW w:w="4678" w:type="dxa"/>
            <w:gridSpan w:val="4"/>
          </w:tcPr>
          <w:p w:rsidR="00BC6968" w:rsidRPr="00982A77" w:rsidRDefault="00BC6968" w:rsidP="00691C92">
            <w:pPr>
              <w:jc w:val="center"/>
              <w:rPr>
                <w:sz w:val="22"/>
                <w:szCs w:val="18"/>
                <w:lang w:val="uk-UA"/>
              </w:rPr>
            </w:pPr>
            <w:r w:rsidRPr="00982A77">
              <w:rPr>
                <w:sz w:val="22"/>
                <w:szCs w:val="18"/>
                <w:lang w:val="uk-UA"/>
              </w:rPr>
              <w:t>Ефект від реалізації другої угоди</w:t>
            </w:r>
          </w:p>
        </w:tc>
      </w:tr>
      <w:tr w:rsidR="00BC6968" w:rsidRPr="00955A60" w:rsidTr="00691C92">
        <w:tc>
          <w:tcPr>
            <w:tcW w:w="1181" w:type="dxa"/>
          </w:tcPr>
          <w:p w:rsidR="00BC6968" w:rsidRPr="00982A77" w:rsidRDefault="00BC6968" w:rsidP="00691C92">
            <w:pPr>
              <w:jc w:val="center"/>
              <w:rPr>
                <w:sz w:val="22"/>
                <w:szCs w:val="18"/>
                <w:lang w:val="uk-UA"/>
              </w:rPr>
            </w:pPr>
            <w:r w:rsidRPr="00982A77">
              <w:rPr>
                <w:sz w:val="22"/>
                <w:szCs w:val="18"/>
                <w:lang w:val="uk-UA"/>
              </w:rPr>
              <w:t>вдала реалізація</w:t>
            </w:r>
          </w:p>
        </w:tc>
        <w:tc>
          <w:tcPr>
            <w:tcW w:w="974" w:type="dxa"/>
          </w:tcPr>
          <w:p w:rsidR="00BC6968" w:rsidRPr="00982A77" w:rsidRDefault="00BC6968" w:rsidP="00691C92">
            <w:pPr>
              <w:jc w:val="center"/>
              <w:rPr>
                <w:sz w:val="22"/>
                <w:szCs w:val="18"/>
                <w:lang w:val="uk-UA"/>
              </w:rPr>
            </w:pPr>
            <w:r w:rsidRPr="00982A77">
              <w:rPr>
                <w:sz w:val="22"/>
                <w:szCs w:val="18"/>
                <w:lang w:val="uk-UA"/>
              </w:rPr>
              <w:t>ймовір-ність</w:t>
            </w:r>
          </w:p>
        </w:tc>
        <w:tc>
          <w:tcPr>
            <w:tcW w:w="1494" w:type="dxa"/>
          </w:tcPr>
          <w:p w:rsidR="00BC6968" w:rsidRPr="00982A77" w:rsidRDefault="00BC6968" w:rsidP="00691C92">
            <w:pPr>
              <w:jc w:val="center"/>
              <w:rPr>
                <w:sz w:val="22"/>
                <w:szCs w:val="18"/>
                <w:lang w:val="uk-UA"/>
              </w:rPr>
            </w:pPr>
            <w:r w:rsidRPr="00982A77">
              <w:rPr>
                <w:sz w:val="22"/>
                <w:szCs w:val="18"/>
                <w:lang w:val="uk-UA"/>
              </w:rPr>
              <w:t>невдала реалізація</w:t>
            </w:r>
          </w:p>
        </w:tc>
        <w:tc>
          <w:tcPr>
            <w:tcW w:w="1058" w:type="dxa"/>
          </w:tcPr>
          <w:p w:rsidR="00BC6968" w:rsidRPr="00982A77" w:rsidRDefault="00BC6968" w:rsidP="00691C92">
            <w:pPr>
              <w:jc w:val="center"/>
              <w:rPr>
                <w:sz w:val="22"/>
                <w:szCs w:val="18"/>
                <w:lang w:val="uk-UA"/>
              </w:rPr>
            </w:pPr>
            <w:r w:rsidRPr="00982A77">
              <w:rPr>
                <w:sz w:val="22"/>
                <w:szCs w:val="18"/>
                <w:lang w:val="uk-UA"/>
              </w:rPr>
              <w:t>ймовір-ність</w:t>
            </w:r>
          </w:p>
        </w:tc>
        <w:tc>
          <w:tcPr>
            <w:tcW w:w="1276" w:type="dxa"/>
          </w:tcPr>
          <w:p w:rsidR="00BC6968" w:rsidRPr="00982A77" w:rsidRDefault="00BC6968" w:rsidP="00691C92">
            <w:pPr>
              <w:jc w:val="center"/>
              <w:rPr>
                <w:sz w:val="22"/>
                <w:szCs w:val="18"/>
                <w:lang w:val="uk-UA"/>
              </w:rPr>
            </w:pPr>
            <w:r w:rsidRPr="00982A77">
              <w:rPr>
                <w:sz w:val="22"/>
                <w:szCs w:val="18"/>
                <w:lang w:val="uk-UA"/>
              </w:rPr>
              <w:t>вдала реалізація</w:t>
            </w:r>
          </w:p>
        </w:tc>
        <w:tc>
          <w:tcPr>
            <w:tcW w:w="992" w:type="dxa"/>
          </w:tcPr>
          <w:p w:rsidR="00BC6968" w:rsidRPr="00982A77" w:rsidRDefault="00BC6968" w:rsidP="00691C92">
            <w:pPr>
              <w:jc w:val="center"/>
              <w:rPr>
                <w:sz w:val="22"/>
                <w:szCs w:val="18"/>
                <w:lang w:val="uk-UA"/>
              </w:rPr>
            </w:pPr>
            <w:r w:rsidRPr="00982A77">
              <w:rPr>
                <w:sz w:val="22"/>
                <w:szCs w:val="18"/>
                <w:lang w:val="uk-UA"/>
              </w:rPr>
              <w:t>ймовір-ність</w:t>
            </w:r>
          </w:p>
        </w:tc>
        <w:tc>
          <w:tcPr>
            <w:tcW w:w="1276" w:type="dxa"/>
          </w:tcPr>
          <w:p w:rsidR="00BC6968" w:rsidRPr="00982A77" w:rsidRDefault="00BC6968" w:rsidP="00691C92">
            <w:pPr>
              <w:jc w:val="center"/>
              <w:rPr>
                <w:sz w:val="22"/>
                <w:szCs w:val="18"/>
                <w:lang w:val="uk-UA"/>
              </w:rPr>
            </w:pPr>
            <w:r w:rsidRPr="00982A77">
              <w:rPr>
                <w:sz w:val="22"/>
                <w:szCs w:val="18"/>
                <w:lang w:val="uk-UA"/>
              </w:rPr>
              <w:t>невдала реалізація</w:t>
            </w:r>
          </w:p>
        </w:tc>
        <w:tc>
          <w:tcPr>
            <w:tcW w:w="1134" w:type="dxa"/>
          </w:tcPr>
          <w:p w:rsidR="00BC6968" w:rsidRPr="00982A77" w:rsidRDefault="00BC6968" w:rsidP="00691C92">
            <w:pPr>
              <w:jc w:val="center"/>
              <w:rPr>
                <w:sz w:val="22"/>
                <w:szCs w:val="18"/>
                <w:lang w:val="uk-UA"/>
              </w:rPr>
            </w:pPr>
            <w:r w:rsidRPr="00982A77">
              <w:rPr>
                <w:sz w:val="22"/>
                <w:szCs w:val="18"/>
                <w:lang w:val="uk-UA"/>
              </w:rPr>
              <w:t>ймовір-ність</w:t>
            </w:r>
          </w:p>
        </w:tc>
      </w:tr>
      <w:tr w:rsidR="00BC6968" w:rsidRPr="00955A60" w:rsidTr="00691C92">
        <w:tc>
          <w:tcPr>
            <w:tcW w:w="1181" w:type="dxa"/>
          </w:tcPr>
          <w:p w:rsidR="00BC6968" w:rsidRPr="00982A77" w:rsidRDefault="00BC6968" w:rsidP="00691C92">
            <w:pPr>
              <w:jc w:val="center"/>
              <w:rPr>
                <w:sz w:val="22"/>
                <w:szCs w:val="18"/>
              </w:rPr>
            </w:pPr>
            <w:r w:rsidRPr="00982A77">
              <w:rPr>
                <w:sz w:val="22"/>
                <w:szCs w:val="18"/>
                <w:lang w:val="uk-UA"/>
              </w:rPr>
              <w:t>58</w:t>
            </w:r>
            <w:r w:rsidRPr="00982A77">
              <w:rPr>
                <w:sz w:val="22"/>
                <w:szCs w:val="18"/>
              </w:rPr>
              <w:t>0</w:t>
            </w:r>
          </w:p>
        </w:tc>
        <w:tc>
          <w:tcPr>
            <w:tcW w:w="974" w:type="dxa"/>
          </w:tcPr>
          <w:p w:rsidR="00BC6968" w:rsidRPr="00982A77" w:rsidRDefault="00BC6968" w:rsidP="00691C92">
            <w:pPr>
              <w:jc w:val="center"/>
              <w:rPr>
                <w:sz w:val="22"/>
                <w:szCs w:val="18"/>
              </w:rPr>
            </w:pPr>
            <w:r w:rsidRPr="00982A77">
              <w:rPr>
                <w:sz w:val="22"/>
                <w:szCs w:val="18"/>
              </w:rPr>
              <w:t>0,7</w:t>
            </w:r>
          </w:p>
        </w:tc>
        <w:tc>
          <w:tcPr>
            <w:tcW w:w="1494" w:type="dxa"/>
          </w:tcPr>
          <w:p w:rsidR="00BC6968" w:rsidRPr="00982A77" w:rsidRDefault="00BC6968" w:rsidP="00691C92">
            <w:pPr>
              <w:jc w:val="center"/>
              <w:rPr>
                <w:sz w:val="22"/>
                <w:szCs w:val="18"/>
              </w:rPr>
            </w:pPr>
            <w:r w:rsidRPr="00982A77">
              <w:rPr>
                <w:sz w:val="22"/>
                <w:szCs w:val="18"/>
              </w:rPr>
              <w:t>4</w:t>
            </w:r>
            <w:r w:rsidRPr="00982A77">
              <w:rPr>
                <w:sz w:val="22"/>
                <w:szCs w:val="18"/>
                <w:lang w:val="uk-UA"/>
              </w:rPr>
              <w:t>9</w:t>
            </w:r>
            <w:r w:rsidRPr="00982A77">
              <w:rPr>
                <w:sz w:val="22"/>
                <w:szCs w:val="18"/>
              </w:rPr>
              <w:t>0</w:t>
            </w:r>
          </w:p>
        </w:tc>
        <w:tc>
          <w:tcPr>
            <w:tcW w:w="1058" w:type="dxa"/>
          </w:tcPr>
          <w:p w:rsidR="00BC6968" w:rsidRPr="00982A77" w:rsidRDefault="00BC6968" w:rsidP="00691C92">
            <w:pPr>
              <w:jc w:val="center"/>
              <w:rPr>
                <w:sz w:val="22"/>
                <w:szCs w:val="18"/>
              </w:rPr>
            </w:pPr>
            <w:r w:rsidRPr="00982A77">
              <w:rPr>
                <w:sz w:val="22"/>
                <w:szCs w:val="18"/>
              </w:rPr>
              <w:t>0,3</w:t>
            </w:r>
          </w:p>
        </w:tc>
        <w:tc>
          <w:tcPr>
            <w:tcW w:w="1276" w:type="dxa"/>
          </w:tcPr>
          <w:p w:rsidR="00BC6968" w:rsidRPr="00982A77" w:rsidRDefault="00BC6968" w:rsidP="00691C92">
            <w:pPr>
              <w:jc w:val="center"/>
              <w:rPr>
                <w:sz w:val="22"/>
                <w:szCs w:val="18"/>
              </w:rPr>
            </w:pPr>
            <w:r w:rsidRPr="00982A77">
              <w:rPr>
                <w:sz w:val="22"/>
                <w:szCs w:val="18"/>
              </w:rPr>
              <w:t>7</w:t>
            </w:r>
            <w:r w:rsidRPr="00982A77">
              <w:rPr>
                <w:sz w:val="22"/>
                <w:szCs w:val="18"/>
                <w:lang w:val="uk-UA"/>
              </w:rPr>
              <w:t>4</w:t>
            </w:r>
            <w:r w:rsidRPr="00982A77">
              <w:rPr>
                <w:sz w:val="22"/>
                <w:szCs w:val="18"/>
              </w:rPr>
              <w:t>0</w:t>
            </w:r>
          </w:p>
        </w:tc>
        <w:tc>
          <w:tcPr>
            <w:tcW w:w="992" w:type="dxa"/>
          </w:tcPr>
          <w:p w:rsidR="00BC6968" w:rsidRPr="00982A77" w:rsidRDefault="00BC6968" w:rsidP="00691C92">
            <w:pPr>
              <w:jc w:val="center"/>
              <w:rPr>
                <w:sz w:val="22"/>
                <w:szCs w:val="18"/>
              </w:rPr>
            </w:pPr>
            <w:r w:rsidRPr="00982A77">
              <w:rPr>
                <w:sz w:val="22"/>
                <w:szCs w:val="18"/>
              </w:rPr>
              <w:t>0,4</w:t>
            </w:r>
          </w:p>
        </w:tc>
        <w:tc>
          <w:tcPr>
            <w:tcW w:w="1276" w:type="dxa"/>
          </w:tcPr>
          <w:p w:rsidR="00BC6968" w:rsidRPr="00982A77" w:rsidRDefault="00BC6968" w:rsidP="00691C92">
            <w:pPr>
              <w:jc w:val="center"/>
              <w:rPr>
                <w:sz w:val="22"/>
                <w:szCs w:val="18"/>
                <w:lang w:val="uk-UA"/>
              </w:rPr>
            </w:pPr>
            <w:r w:rsidRPr="00982A77">
              <w:rPr>
                <w:sz w:val="22"/>
                <w:szCs w:val="18"/>
                <w:lang w:val="uk-UA"/>
              </w:rPr>
              <w:t>460</w:t>
            </w:r>
          </w:p>
        </w:tc>
        <w:tc>
          <w:tcPr>
            <w:tcW w:w="1134" w:type="dxa"/>
          </w:tcPr>
          <w:p w:rsidR="00BC6968" w:rsidRPr="00982A77" w:rsidRDefault="00BC6968" w:rsidP="00691C92">
            <w:pPr>
              <w:jc w:val="center"/>
              <w:rPr>
                <w:sz w:val="22"/>
                <w:szCs w:val="18"/>
              </w:rPr>
            </w:pPr>
            <w:r w:rsidRPr="00982A77">
              <w:rPr>
                <w:sz w:val="22"/>
                <w:szCs w:val="18"/>
              </w:rPr>
              <w:t>0,6</w:t>
            </w:r>
          </w:p>
        </w:tc>
      </w:tr>
    </w:tbl>
    <w:p w:rsidR="00BC6968" w:rsidRPr="00982A77" w:rsidRDefault="00BC6968" w:rsidP="00BC6968">
      <w:pPr>
        <w:pStyle w:val="2"/>
        <w:spacing w:line="240" w:lineRule="auto"/>
        <w:rPr>
          <w:b/>
          <w:sz w:val="22"/>
          <w:szCs w:val="22"/>
        </w:rPr>
      </w:pPr>
      <w:r w:rsidRPr="00982A77">
        <w:rPr>
          <w:b/>
          <w:sz w:val="22"/>
          <w:szCs w:val="22"/>
        </w:rPr>
        <w:t>Завдання:</w:t>
      </w:r>
    </w:p>
    <w:p w:rsidR="00BC6968" w:rsidRPr="00982A77" w:rsidRDefault="00BC6968" w:rsidP="00BC6968">
      <w:pPr>
        <w:pStyle w:val="2"/>
        <w:numPr>
          <w:ilvl w:val="0"/>
          <w:numId w:val="1"/>
        </w:numPr>
        <w:tabs>
          <w:tab w:val="clear" w:pos="360"/>
          <w:tab w:val="num" w:pos="0"/>
          <w:tab w:val="num" w:pos="709"/>
          <w:tab w:val="left" w:pos="851"/>
        </w:tabs>
        <w:spacing w:line="240" w:lineRule="auto"/>
        <w:ind w:left="0" w:firstLine="567"/>
        <w:rPr>
          <w:sz w:val="22"/>
          <w:szCs w:val="22"/>
        </w:rPr>
      </w:pPr>
      <w:r w:rsidRPr="00982A77">
        <w:rPr>
          <w:sz w:val="22"/>
          <w:szCs w:val="22"/>
        </w:rPr>
        <w:t>Проведіть оцінку ступеню ризику від реалізації комерційних угод (очікуваний дохід, середньоквадратичне відхилення, коефіцієнт варіації тощо)</w:t>
      </w:r>
    </w:p>
    <w:p w:rsidR="00BC6968" w:rsidRPr="00982A77" w:rsidRDefault="00BC6968" w:rsidP="00BC6968">
      <w:pPr>
        <w:pStyle w:val="2"/>
        <w:numPr>
          <w:ilvl w:val="0"/>
          <w:numId w:val="1"/>
        </w:numPr>
        <w:tabs>
          <w:tab w:val="clear" w:pos="360"/>
          <w:tab w:val="num" w:pos="0"/>
          <w:tab w:val="num" w:pos="709"/>
          <w:tab w:val="left" w:pos="851"/>
        </w:tabs>
        <w:spacing w:line="240" w:lineRule="auto"/>
        <w:ind w:left="0" w:firstLine="567"/>
        <w:rPr>
          <w:sz w:val="22"/>
          <w:szCs w:val="22"/>
        </w:rPr>
      </w:pPr>
      <w:r w:rsidRPr="00982A77">
        <w:rPr>
          <w:sz w:val="22"/>
          <w:szCs w:val="22"/>
        </w:rPr>
        <w:t>Прийміть та обґрунтуйте рішення щодо доцільності укладання відповідної комерційної угоди.</w:t>
      </w:r>
    </w:p>
    <w:p w:rsidR="00BC6968" w:rsidRPr="00982A77" w:rsidRDefault="00BC6968" w:rsidP="00BC69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</w:rPr>
      </w:pPr>
      <w:r w:rsidRPr="00982A77">
        <w:rPr>
          <w:b/>
          <w:color w:val="000000"/>
          <w:sz w:val="22"/>
          <w:szCs w:val="22"/>
          <w:lang w:val="uk-UA"/>
        </w:rPr>
        <w:t>Розв’язання:</w:t>
      </w:r>
      <w:r w:rsidRPr="00982A77">
        <w:rPr>
          <w:sz w:val="22"/>
          <w:szCs w:val="22"/>
        </w:rPr>
        <w:t xml:space="preserve">    </w:t>
      </w:r>
    </w:p>
    <w:p w:rsidR="00BC6968" w:rsidRDefault="00BC6968" w:rsidP="00BC69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1. Визначаємо середній очікуваний дохід:</w:t>
      </w:r>
    </w:p>
    <w:p w:rsidR="00BC6968" w:rsidRDefault="00BC6968" w:rsidP="00BC69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982A77">
        <w:rPr>
          <w:sz w:val="22"/>
          <w:szCs w:val="22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r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2"/>
                <w:szCs w:val="22"/>
              </w:rPr>
            </m:ctrlPr>
          </m:naryPr>
          <m:sub>
            <m:r>
              <w:rPr>
                <w:rFonts w:ascii="Cambria Math" w:hAnsi="Cambria Math"/>
                <w:sz w:val="22"/>
                <w:szCs w:val="22"/>
              </w:rPr>
              <m:t>i=1</m:t>
            </m:r>
          </m:sub>
          <m:sup>
            <m:r>
              <w:rPr>
                <w:rFonts w:ascii="Cambria Math" w:hAnsi="Cambria Math"/>
                <w:sz w:val="22"/>
                <w:szCs w:val="22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i</m:t>
                </m:r>
              </m:sub>
            </m:sSub>
            <m:r>
              <w:rPr>
                <w:rFonts w:ascii="Cambria Math" w:hAnsi="Cambria Math"/>
                <w:sz w:val="22"/>
                <w:szCs w:val="22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i</m:t>
                </m:r>
              </m:sub>
            </m:sSub>
          </m:e>
        </m:nary>
      </m:oMath>
      <w:r w:rsidRPr="00982A77">
        <w:rPr>
          <w:sz w:val="22"/>
          <w:szCs w:val="22"/>
        </w:rPr>
        <w:t xml:space="preserve">      </w:t>
      </w:r>
    </w:p>
    <w:p w:rsidR="00BC6968" w:rsidRDefault="00BC6968" w:rsidP="00BC69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де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P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</m:t>
            </m:r>
          </m:sub>
        </m:sSub>
      </m:oMath>
      <w:r>
        <w:rPr>
          <w:sz w:val="22"/>
          <w:szCs w:val="22"/>
        </w:rPr>
        <w:t xml:space="preserve">  ‒</w:t>
      </w:r>
      <w:r>
        <w:rPr>
          <w:sz w:val="22"/>
          <w:szCs w:val="22"/>
          <w:lang w:val="uk-UA"/>
        </w:rPr>
        <w:t xml:space="preserve"> значення ймовірності у разі вдалої</w:t>
      </w:r>
      <w:r w:rsidRPr="00982A77">
        <w:rPr>
          <w:sz w:val="22"/>
          <w:szCs w:val="22"/>
        </w:rPr>
        <w:t>/</w:t>
      </w:r>
      <w:r>
        <w:rPr>
          <w:sz w:val="22"/>
          <w:szCs w:val="22"/>
          <w:lang w:val="uk-UA"/>
        </w:rPr>
        <w:t>невдалої реалізації, частка одиниці;</w:t>
      </w:r>
      <w:r>
        <w:rPr>
          <w:sz w:val="22"/>
          <w:szCs w:val="22"/>
        </w:rPr>
        <w:t xml:space="preserve">         </w:t>
      </w:r>
    </w:p>
    <w:p w:rsidR="00BC6968" w:rsidRPr="00982A77" w:rsidRDefault="00BC6968" w:rsidP="00BC69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val="uk-UA"/>
        </w:rPr>
      </w:pPr>
      <w:r w:rsidRPr="00982A77">
        <w:rPr>
          <w:sz w:val="22"/>
          <w:szCs w:val="22"/>
        </w:rPr>
        <w:t xml:space="preserve">           </w:t>
      </w:r>
      <w:r>
        <w:rPr>
          <w:sz w:val="22"/>
          <w:szCs w:val="22"/>
          <w:lang w:val="uk-UA"/>
        </w:rPr>
        <w:t xml:space="preserve">  </w:t>
      </w:r>
      <w:r w:rsidRPr="00982A77">
        <w:rPr>
          <w:sz w:val="22"/>
          <w:szCs w:val="22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E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</m:t>
            </m:r>
          </m:sub>
        </m:sSub>
      </m:oMath>
      <w:r>
        <w:rPr>
          <w:sz w:val="22"/>
          <w:szCs w:val="22"/>
          <w:lang w:val="uk-UA"/>
        </w:rPr>
        <w:t xml:space="preserve">  ‒ розрахунковий дохід у разі вдалої</w:t>
      </w:r>
      <w:r w:rsidRPr="00982A77">
        <w:rPr>
          <w:sz w:val="22"/>
          <w:szCs w:val="22"/>
        </w:rPr>
        <w:t>/</w:t>
      </w:r>
      <w:r>
        <w:rPr>
          <w:sz w:val="22"/>
          <w:szCs w:val="22"/>
          <w:lang w:val="uk-UA"/>
        </w:rPr>
        <w:t>невдалої реалізації, грош.од.</w:t>
      </w:r>
    </w:p>
    <w:p w:rsidR="00BC6968" w:rsidRPr="00982A77" w:rsidRDefault="00BC6968" w:rsidP="00BC69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  <w:lang w:val="uk-UA"/>
        </w:rPr>
      </w:pPr>
      <w:r w:rsidRPr="00982A77">
        <w:rPr>
          <w:sz w:val="22"/>
          <w:szCs w:val="22"/>
          <w:lang w:val="uk-UA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r</m:t>
            </m:r>
          </m:sub>
        </m:sSub>
        <m:d>
          <m:dPr>
            <m:ctrlPr>
              <w:rPr>
                <w:rFonts w:ascii="Cambria Math" w:hAnsi="Cambria Math"/>
                <w:i/>
                <w:sz w:val="22"/>
                <w:szCs w:val="22"/>
                <w:lang w:val="uk-UA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lang w:val="uk-UA"/>
              </w:rPr>
              <m:t>угода № 1</m:t>
            </m:r>
          </m:e>
        </m:d>
        <m:r>
          <w:rPr>
            <w:rFonts w:ascii="Cambria Math" w:hAnsi="Cambria Math"/>
            <w:sz w:val="22"/>
            <w:szCs w:val="22"/>
            <w:lang w:val="uk-UA"/>
          </w:rPr>
          <m:t>=580×0,7+490×0,3=406+147=553 тис.грн.</m:t>
        </m:r>
      </m:oMath>
    </w:p>
    <w:p w:rsidR="00BC6968" w:rsidRPr="00982A77" w:rsidRDefault="00BC6968" w:rsidP="00BC696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  <w:lang w:val="uk-UA"/>
        </w:rPr>
      </w:pPr>
      <w:r w:rsidRPr="00982A77">
        <w:rPr>
          <w:sz w:val="22"/>
          <w:szCs w:val="22"/>
          <w:lang w:val="uk-UA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r</m:t>
            </m:r>
          </m:sub>
        </m:sSub>
        <m:r>
          <w:rPr>
            <w:rFonts w:ascii="Cambria Math" w:hAnsi="Cambria Math"/>
            <w:sz w:val="22"/>
            <w:szCs w:val="22"/>
            <w:lang w:val="uk-UA"/>
          </w:rPr>
          <m:t>(угода № 2)=</m:t>
        </m:r>
      </m:oMath>
      <w:r>
        <w:rPr>
          <w:sz w:val="22"/>
          <w:szCs w:val="22"/>
          <w:lang w:val="uk-UA"/>
        </w:rPr>
        <w:t xml:space="preserve"> </w:t>
      </w:r>
      <m:oMath>
        <m:r>
          <w:rPr>
            <w:rFonts w:ascii="Cambria Math" w:hAnsi="Cambria Math"/>
            <w:sz w:val="22"/>
            <w:szCs w:val="22"/>
            <w:lang w:val="uk-UA"/>
          </w:rPr>
          <m:t>740×0,4+460×0,6=296+276=572 тис.грн.</m:t>
        </m:r>
      </m:oMath>
      <w:r w:rsidRPr="00982A77">
        <w:rPr>
          <w:sz w:val="22"/>
          <w:szCs w:val="22"/>
          <w:lang w:val="uk-UA"/>
        </w:rPr>
        <w:t xml:space="preserve">     </w:t>
      </w:r>
    </w:p>
    <w:p w:rsidR="00BC6968" w:rsidRDefault="00BC6968" w:rsidP="00BC6968">
      <w:pPr>
        <w:pStyle w:val="2"/>
        <w:tabs>
          <w:tab w:val="num" w:pos="1077"/>
        </w:tabs>
        <w:spacing w:line="240" w:lineRule="auto"/>
        <w:rPr>
          <w:sz w:val="22"/>
          <w:szCs w:val="22"/>
        </w:rPr>
      </w:pPr>
      <w:r w:rsidRPr="0028414B">
        <w:rPr>
          <w:b/>
          <w:sz w:val="22"/>
          <w:szCs w:val="22"/>
        </w:rPr>
        <w:t>Висновок:</w:t>
      </w:r>
      <w:r>
        <w:rPr>
          <w:sz w:val="22"/>
          <w:szCs w:val="22"/>
        </w:rPr>
        <w:t xml:space="preserve"> </w:t>
      </w:r>
      <w:r w:rsidRPr="00982A77">
        <w:rPr>
          <w:sz w:val="22"/>
          <w:szCs w:val="22"/>
        </w:rPr>
        <w:t>проект №</w:t>
      </w:r>
      <w:r>
        <w:rPr>
          <w:sz w:val="22"/>
          <w:szCs w:val="22"/>
        </w:rPr>
        <w:t> 2</w:t>
      </w:r>
      <w:r w:rsidRPr="00982A77">
        <w:rPr>
          <w:sz w:val="22"/>
          <w:szCs w:val="22"/>
        </w:rPr>
        <w:t xml:space="preserve"> є більш привабливим з комерційної точки зору.</w:t>
      </w:r>
      <w:r>
        <w:rPr>
          <w:sz w:val="22"/>
          <w:szCs w:val="22"/>
        </w:rPr>
        <w:t xml:space="preserve"> О</w:t>
      </w:r>
      <w:r w:rsidRPr="00982A77">
        <w:rPr>
          <w:sz w:val="22"/>
          <w:szCs w:val="22"/>
        </w:rPr>
        <w:t xml:space="preserve">чікуваний дохід за проектом № </w:t>
      </w:r>
      <w:r>
        <w:rPr>
          <w:sz w:val="22"/>
          <w:szCs w:val="22"/>
        </w:rPr>
        <w:t>2</w:t>
      </w:r>
      <w:r w:rsidRPr="00982A77">
        <w:rPr>
          <w:sz w:val="22"/>
          <w:szCs w:val="22"/>
        </w:rPr>
        <w:t xml:space="preserve"> на </w:t>
      </w:r>
      <w:r>
        <w:rPr>
          <w:sz w:val="22"/>
          <w:szCs w:val="22"/>
        </w:rPr>
        <w:t>3,44</w:t>
      </w:r>
      <w:r w:rsidRPr="00982A77">
        <w:rPr>
          <w:sz w:val="22"/>
          <w:szCs w:val="22"/>
        </w:rPr>
        <w:t xml:space="preserve">% вище, ніж за проектом  № </w:t>
      </w:r>
      <w:r>
        <w:rPr>
          <w:sz w:val="22"/>
          <w:szCs w:val="22"/>
        </w:rPr>
        <w:t>1.</w:t>
      </w:r>
    </w:p>
    <w:p w:rsidR="00BC6968" w:rsidRDefault="00BC6968" w:rsidP="00BC6968">
      <w:pPr>
        <w:pStyle w:val="2"/>
        <w:tabs>
          <w:tab w:val="num" w:pos="1077"/>
        </w:tabs>
        <w:spacing w:line="240" w:lineRule="auto"/>
        <w:rPr>
          <w:sz w:val="22"/>
          <w:szCs w:val="22"/>
        </w:rPr>
      </w:pPr>
    </w:p>
    <w:p w:rsidR="00BC6968" w:rsidRDefault="00BC6968" w:rsidP="00BC6968">
      <w:pPr>
        <w:pStyle w:val="2"/>
        <w:tabs>
          <w:tab w:val="num" w:pos="1077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2. Визначаємо середньоквадратичне відхилення (рівень</w:t>
      </w:r>
      <w:r w:rsidRPr="00982A77">
        <w:rPr>
          <w:sz w:val="22"/>
          <w:szCs w:val="22"/>
        </w:rPr>
        <w:t xml:space="preserve"> коливань розрахункового доходу</w:t>
      </w:r>
      <w:r>
        <w:rPr>
          <w:sz w:val="22"/>
          <w:szCs w:val="22"/>
        </w:rPr>
        <w:t>)</w:t>
      </w:r>
      <w:r w:rsidRPr="00982A77">
        <w:rPr>
          <w:sz w:val="22"/>
          <w:szCs w:val="22"/>
        </w:rPr>
        <w:t>:</w:t>
      </w:r>
    </w:p>
    <w:p w:rsidR="00BC6968" w:rsidRPr="0028414B" w:rsidRDefault="00BC6968" w:rsidP="00BC6968">
      <w:pPr>
        <w:pStyle w:val="2"/>
        <w:tabs>
          <w:tab w:val="num" w:pos="1077"/>
        </w:tabs>
        <w:spacing w:line="240" w:lineRule="auto"/>
        <w:ind w:left="567"/>
        <w:rPr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2"/>
              <w:szCs w:val="22"/>
            </w:rPr>
            <m:t>δ=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radPr>
            <m:deg/>
            <m:e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val="ru-RU" w:eastAsia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E-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r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2"/>
                      <w:szCs w:val="22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sz w:val="22"/>
                          <w:szCs w:val="22"/>
                          <w:lang w:val="ru-RU"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</m:sub>
                  </m:sSub>
                </m:e>
              </m:nary>
            </m:e>
          </m:rad>
        </m:oMath>
      </m:oMathPara>
    </w:p>
    <w:p w:rsidR="00BC6968" w:rsidRPr="0028414B" w:rsidRDefault="00BC6968" w:rsidP="00BC6968">
      <w:pPr>
        <w:pStyle w:val="2"/>
        <w:tabs>
          <w:tab w:val="num" w:pos="1077"/>
        </w:tabs>
        <w:spacing w:line="240" w:lineRule="auto"/>
        <w:ind w:left="567"/>
        <w:rPr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2"/>
              <w:szCs w:val="22"/>
            </w:rPr>
            <m:t xml:space="preserve">δ 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угода № 1</m:t>
              </m:r>
            </m:e>
          </m:d>
          <m:r>
            <w:rPr>
              <w:rFonts w:ascii="Cambria Math" w:hAnsi="Cambria Math"/>
              <w:sz w:val="22"/>
              <w:szCs w:val="22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580-553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×0,7+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490-583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×0,3</m:t>
              </m:r>
            </m:e>
          </m:rad>
          <m:r>
            <w:rPr>
              <w:rFonts w:ascii="Cambria Math" w:hAnsi="Cambria Math"/>
              <w:sz w:val="22"/>
              <w:szCs w:val="22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radPr>
            <m:deg/>
            <m:e>
              <m:r>
                <w:rPr>
                  <w:rFonts w:ascii="Cambria Math" w:hAnsi="Cambria Math"/>
                  <w:sz w:val="22"/>
                  <w:szCs w:val="22"/>
                </w:rPr>
                <m:t>510,3+1190,7</m:t>
              </m:r>
            </m:e>
          </m:rad>
          <m:r>
            <w:rPr>
              <w:rFonts w:ascii="Cambria Math" w:hAnsi="Cambria Math"/>
              <w:sz w:val="22"/>
              <w:szCs w:val="22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radPr>
            <m:deg/>
            <m:e>
              <m:r>
                <w:rPr>
                  <w:rFonts w:ascii="Cambria Math" w:hAnsi="Cambria Math"/>
                  <w:sz w:val="22"/>
                  <w:szCs w:val="22"/>
                </w:rPr>
                <m:t>1701</m:t>
              </m:r>
            </m:e>
          </m:rad>
          <m:r>
            <w:rPr>
              <w:rFonts w:ascii="Cambria Math" w:hAnsi="Cambria Math"/>
              <w:sz w:val="22"/>
              <w:szCs w:val="22"/>
            </w:rPr>
            <m:t>=41,243181≈41,2432</m:t>
          </m:r>
        </m:oMath>
      </m:oMathPara>
    </w:p>
    <w:p w:rsidR="00BC6968" w:rsidRPr="0028414B" w:rsidRDefault="00BC6968" w:rsidP="00BC6968">
      <w:pPr>
        <w:pStyle w:val="2"/>
        <w:tabs>
          <w:tab w:val="num" w:pos="1077"/>
        </w:tabs>
        <w:spacing w:line="240" w:lineRule="auto"/>
        <w:ind w:left="567"/>
        <w:rPr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2"/>
              <w:szCs w:val="22"/>
            </w:rPr>
            <m:t xml:space="preserve">δ 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угода № 2</m:t>
              </m:r>
            </m:e>
          </m:d>
          <m:r>
            <w:rPr>
              <w:rFonts w:ascii="Cambria Math" w:hAnsi="Cambria Math"/>
              <w:sz w:val="22"/>
              <w:szCs w:val="22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740-572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×0,4+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460-572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×0,6</m:t>
              </m:r>
            </m:e>
          </m:rad>
          <m:r>
            <w:rPr>
              <w:rFonts w:ascii="Cambria Math" w:hAnsi="Cambria Math"/>
              <w:sz w:val="22"/>
              <w:szCs w:val="22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radPr>
            <m:deg/>
            <m:e>
              <m:r>
                <w:rPr>
                  <w:rFonts w:ascii="Cambria Math" w:hAnsi="Cambria Math"/>
                  <w:sz w:val="22"/>
                  <w:szCs w:val="22"/>
                </w:rPr>
                <m:t>11289,6+7526,4</m:t>
              </m:r>
            </m:e>
          </m:rad>
          <m:r>
            <w:rPr>
              <w:rFonts w:ascii="Cambria Math" w:hAnsi="Cambria Math"/>
              <w:sz w:val="22"/>
              <w:szCs w:val="22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radPr>
            <m:deg/>
            <m:e>
              <m:r>
                <w:rPr>
                  <w:rFonts w:ascii="Cambria Math" w:hAnsi="Cambria Math"/>
                  <w:sz w:val="22"/>
                  <w:szCs w:val="22"/>
                </w:rPr>
                <m:t>18816</m:t>
              </m:r>
            </m:e>
          </m:rad>
          <m:r>
            <w:rPr>
              <w:rFonts w:ascii="Cambria Math" w:hAnsi="Cambria Math"/>
              <w:sz w:val="22"/>
              <w:szCs w:val="22"/>
            </w:rPr>
            <m:t>=137,171426≈137,1714</m:t>
          </m:r>
        </m:oMath>
      </m:oMathPara>
    </w:p>
    <w:p w:rsidR="00BC6968" w:rsidRDefault="00BC6968" w:rsidP="00BC6968">
      <w:pPr>
        <w:pStyle w:val="2"/>
        <w:tabs>
          <w:tab w:val="num" w:pos="1077"/>
        </w:tabs>
        <w:spacing w:line="240" w:lineRule="auto"/>
        <w:rPr>
          <w:i/>
          <w:sz w:val="22"/>
          <w:szCs w:val="22"/>
        </w:rPr>
      </w:pPr>
      <w:r w:rsidRPr="0028414B">
        <w:rPr>
          <w:b/>
          <w:sz w:val="22"/>
          <w:szCs w:val="22"/>
        </w:rPr>
        <w:t>Висновок:</w:t>
      </w:r>
      <w:r>
        <w:rPr>
          <w:sz w:val="22"/>
          <w:szCs w:val="22"/>
        </w:rPr>
        <w:t xml:space="preserve"> </w:t>
      </w:r>
      <w:r w:rsidRPr="00982A77">
        <w:rPr>
          <w:sz w:val="22"/>
          <w:szCs w:val="22"/>
        </w:rPr>
        <w:t xml:space="preserve">рівень коливань за проектом № </w:t>
      </w:r>
      <w:r>
        <w:rPr>
          <w:sz w:val="22"/>
          <w:szCs w:val="22"/>
        </w:rPr>
        <w:t>1</w:t>
      </w:r>
      <w:r w:rsidRPr="00982A77">
        <w:rPr>
          <w:sz w:val="22"/>
          <w:szCs w:val="22"/>
        </w:rPr>
        <w:t xml:space="preserve"> є нижчим на </w:t>
      </w:r>
      <w:r>
        <w:rPr>
          <w:sz w:val="22"/>
          <w:szCs w:val="22"/>
        </w:rPr>
        <w:t xml:space="preserve">232,59 </w:t>
      </w:r>
      <w:r w:rsidRPr="00982A77">
        <w:rPr>
          <w:sz w:val="22"/>
          <w:szCs w:val="22"/>
        </w:rPr>
        <w:t xml:space="preserve">% в порівнянні з проектом № </w:t>
      </w:r>
      <w:r>
        <w:rPr>
          <w:sz w:val="22"/>
          <w:szCs w:val="22"/>
        </w:rPr>
        <w:t>2.</w:t>
      </w:r>
    </w:p>
    <w:p w:rsidR="00BC6968" w:rsidRDefault="00BC6968" w:rsidP="00BC6968">
      <w:pPr>
        <w:pStyle w:val="2"/>
        <w:spacing w:line="240" w:lineRule="auto"/>
        <w:rPr>
          <w:i/>
          <w:sz w:val="22"/>
          <w:szCs w:val="22"/>
        </w:rPr>
      </w:pPr>
    </w:p>
    <w:p w:rsidR="00BC6968" w:rsidRDefault="00BC6968" w:rsidP="00BC6968">
      <w:pPr>
        <w:pStyle w:val="2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3. В</w:t>
      </w:r>
      <w:r w:rsidRPr="00982A77">
        <w:rPr>
          <w:sz w:val="22"/>
          <w:szCs w:val="22"/>
        </w:rPr>
        <w:t>изнач</w:t>
      </w:r>
      <w:r>
        <w:rPr>
          <w:sz w:val="22"/>
          <w:szCs w:val="22"/>
        </w:rPr>
        <w:t>аємо коефіцієнт варіації (рівень ризику):</w:t>
      </w:r>
    </w:p>
    <w:p w:rsidR="00BC6968" w:rsidRPr="000C5643" w:rsidRDefault="00BC6968" w:rsidP="00BC6968">
      <w:pPr>
        <w:pStyle w:val="2"/>
        <w:spacing w:line="240" w:lineRule="auto"/>
        <w:ind w:left="567"/>
        <w:rPr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2"/>
              <w:szCs w:val="22"/>
            </w:rPr>
            <m:t>CV=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δ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r</m:t>
                  </m:r>
                </m:sub>
              </m:sSub>
            </m:den>
          </m:f>
        </m:oMath>
      </m:oMathPara>
    </w:p>
    <w:p w:rsidR="00BC6968" w:rsidRPr="000C5643" w:rsidRDefault="00BC6968" w:rsidP="00BC6968">
      <w:pPr>
        <w:pStyle w:val="2"/>
        <w:spacing w:line="240" w:lineRule="auto"/>
        <w:ind w:left="567"/>
        <w:rPr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2"/>
              <w:szCs w:val="22"/>
            </w:rPr>
            <m:t xml:space="preserve">CV 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угода № 1</m:t>
              </m:r>
            </m:e>
          </m:d>
          <m: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41,2432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553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=0,0746</m:t>
          </m:r>
        </m:oMath>
      </m:oMathPara>
    </w:p>
    <w:p w:rsidR="00BC6968" w:rsidRPr="000C5643" w:rsidRDefault="00BC6968" w:rsidP="00BC6968">
      <w:pPr>
        <w:pStyle w:val="2"/>
        <w:spacing w:line="240" w:lineRule="auto"/>
        <w:ind w:left="567"/>
        <w:rPr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2"/>
              <w:szCs w:val="22"/>
            </w:rPr>
            <m:t xml:space="preserve">CV 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угода № 2</m:t>
              </m:r>
            </m:e>
          </m:d>
          <m: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137,1714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572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=0,2398</m:t>
          </m:r>
        </m:oMath>
      </m:oMathPara>
    </w:p>
    <w:p w:rsidR="00BC6968" w:rsidRPr="00982A77" w:rsidRDefault="00BC6968" w:rsidP="00BC6968">
      <w:pPr>
        <w:pStyle w:val="2"/>
        <w:tabs>
          <w:tab w:val="num" w:pos="1077"/>
        </w:tabs>
        <w:spacing w:line="240" w:lineRule="auto"/>
        <w:rPr>
          <w:sz w:val="22"/>
          <w:szCs w:val="22"/>
        </w:rPr>
      </w:pPr>
      <w:r w:rsidRPr="0028414B">
        <w:rPr>
          <w:b/>
          <w:sz w:val="22"/>
          <w:szCs w:val="22"/>
        </w:rPr>
        <w:t>Висновок:</w:t>
      </w:r>
      <w:r>
        <w:rPr>
          <w:b/>
          <w:sz w:val="22"/>
          <w:szCs w:val="22"/>
        </w:rPr>
        <w:t xml:space="preserve"> </w:t>
      </w:r>
      <w:r w:rsidRPr="00982A77">
        <w:rPr>
          <w:sz w:val="22"/>
          <w:szCs w:val="22"/>
        </w:rPr>
        <w:t>рівень ризику, ви</w:t>
      </w:r>
      <w:r>
        <w:rPr>
          <w:sz w:val="22"/>
          <w:szCs w:val="22"/>
        </w:rPr>
        <w:t xml:space="preserve">значений коефіцієнтом варіації, </w:t>
      </w:r>
      <w:r w:rsidRPr="00982A77">
        <w:rPr>
          <w:sz w:val="22"/>
          <w:szCs w:val="22"/>
        </w:rPr>
        <w:t xml:space="preserve">за </w:t>
      </w:r>
      <w:r>
        <w:rPr>
          <w:sz w:val="22"/>
          <w:szCs w:val="22"/>
        </w:rPr>
        <w:t>угодою</w:t>
      </w:r>
      <w:r w:rsidRPr="00982A77">
        <w:rPr>
          <w:sz w:val="22"/>
          <w:szCs w:val="22"/>
        </w:rPr>
        <w:t xml:space="preserve"> №</w:t>
      </w:r>
      <w:r>
        <w:rPr>
          <w:sz w:val="22"/>
          <w:szCs w:val="22"/>
        </w:rPr>
        <w:t> 2</w:t>
      </w:r>
      <w:r w:rsidRPr="00982A77">
        <w:rPr>
          <w:sz w:val="22"/>
          <w:szCs w:val="22"/>
        </w:rPr>
        <w:t xml:space="preserve"> </w:t>
      </w:r>
      <w:r>
        <w:rPr>
          <w:sz w:val="22"/>
          <w:szCs w:val="22"/>
        </w:rPr>
        <w:t>становить 23,98%, а за угодою № 1 ‒ 7,46%</w:t>
      </w:r>
      <w:r w:rsidRPr="00982A77">
        <w:rPr>
          <w:sz w:val="22"/>
          <w:szCs w:val="22"/>
        </w:rPr>
        <w:t>.</w:t>
      </w:r>
      <w:r>
        <w:rPr>
          <w:sz w:val="22"/>
          <w:szCs w:val="22"/>
        </w:rPr>
        <w:t xml:space="preserve"> Це свідчить про те, що угода № 1 є менш ризикованою, ніж угода № 2. </w:t>
      </w:r>
    </w:p>
    <w:p w:rsidR="00BC6968" w:rsidRPr="00982A77" w:rsidRDefault="00BC6968" w:rsidP="00BC6968">
      <w:pPr>
        <w:pStyle w:val="2"/>
        <w:spacing w:line="240" w:lineRule="auto"/>
        <w:rPr>
          <w:sz w:val="22"/>
          <w:szCs w:val="22"/>
        </w:rPr>
      </w:pPr>
      <w:r w:rsidRPr="00982A77">
        <w:rPr>
          <w:sz w:val="22"/>
          <w:szCs w:val="22"/>
        </w:rPr>
        <w:t xml:space="preserve">Оцінивши ступінь  ризику від реалізації комерційних угод та рівень їх комерційної привабливості, </w:t>
      </w:r>
      <w:r>
        <w:rPr>
          <w:sz w:val="22"/>
          <w:szCs w:val="22"/>
        </w:rPr>
        <w:t>рекомендуємо обр</w:t>
      </w:r>
      <w:r w:rsidRPr="00982A77">
        <w:rPr>
          <w:sz w:val="22"/>
          <w:szCs w:val="22"/>
        </w:rPr>
        <w:t>а</w:t>
      </w:r>
      <w:r>
        <w:rPr>
          <w:sz w:val="22"/>
          <w:szCs w:val="22"/>
        </w:rPr>
        <w:t>ти</w:t>
      </w:r>
      <w:r w:rsidRPr="00982A77">
        <w:rPr>
          <w:sz w:val="22"/>
          <w:szCs w:val="22"/>
        </w:rPr>
        <w:t xml:space="preserve"> проект № 1 (комерційн</w:t>
      </w:r>
      <w:r>
        <w:rPr>
          <w:sz w:val="22"/>
          <w:szCs w:val="22"/>
        </w:rPr>
        <w:t>а</w:t>
      </w:r>
      <w:r w:rsidRPr="00982A77">
        <w:rPr>
          <w:sz w:val="22"/>
          <w:szCs w:val="22"/>
        </w:rPr>
        <w:t xml:space="preserve"> приваблив</w:t>
      </w:r>
      <w:r>
        <w:rPr>
          <w:sz w:val="22"/>
          <w:szCs w:val="22"/>
        </w:rPr>
        <w:t xml:space="preserve">ість угоди № 1 лише на 3,44% нижча за угоду № 2, однак </w:t>
      </w:r>
      <w:r w:rsidRPr="00982A77">
        <w:rPr>
          <w:sz w:val="22"/>
          <w:szCs w:val="22"/>
        </w:rPr>
        <w:t>менш ризикован</w:t>
      </w:r>
      <w:r>
        <w:rPr>
          <w:sz w:val="22"/>
          <w:szCs w:val="22"/>
        </w:rPr>
        <w:t>ою</w:t>
      </w:r>
      <w:r w:rsidRPr="00982A77">
        <w:rPr>
          <w:sz w:val="22"/>
          <w:szCs w:val="22"/>
        </w:rPr>
        <w:t xml:space="preserve">). </w:t>
      </w:r>
    </w:p>
    <w:p w:rsidR="00D24CD8" w:rsidRPr="00BC6968" w:rsidRDefault="00D24CD8" w:rsidP="00BC6968">
      <w:pPr>
        <w:pStyle w:val="a3"/>
        <w:spacing w:before="0" w:beforeAutospacing="0" w:after="0" w:afterAutospacing="0"/>
        <w:ind w:firstLine="450"/>
        <w:jc w:val="both"/>
        <w:rPr>
          <w:lang w:val="uk-UA"/>
        </w:rPr>
      </w:pPr>
    </w:p>
    <w:sectPr w:rsidR="00D24CD8" w:rsidRPr="00BC696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BFD" w:rsidRDefault="00154BFD" w:rsidP="00D24CD8">
      <w:pPr>
        <w:spacing w:after="0" w:line="240" w:lineRule="auto"/>
      </w:pPr>
      <w:r>
        <w:separator/>
      </w:r>
    </w:p>
  </w:endnote>
  <w:endnote w:type="continuationSeparator" w:id="0">
    <w:p w:rsidR="00154BFD" w:rsidRDefault="00154BFD" w:rsidP="00D2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BFD" w:rsidRDefault="00154BFD" w:rsidP="00D24CD8">
      <w:pPr>
        <w:spacing w:after="0" w:line="240" w:lineRule="auto"/>
      </w:pPr>
      <w:r>
        <w:separator/>
      </w:r>
    </w:p>
  </w:footnote>
  <w:footnote w:type="continuationSeparator" w:id="0">
    <w:p w:rsidR="00154BFD" w:rsidRDefault="00154BFD" w:rsidP="00D24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CD8" w:rsidRDefault="00D24CD8" w:rsidP="00D24CD8">
    <w:pPr>
      <w:pStyle w:val="a3"/>
      <w:spacing w:before="0" w:beforeAutospacing="0" w:after="0" w:afterAutospacing="0"/>
      <w:ind w:firstLine="450"/>
      <w:jc w:val="right"/>
      <w:rPr>
        <w:b/>
        <w:sz w:val="22"/>
        <w:szCs w:val="22"/>
        <w:lang w:val="uk-UA"/>
      </w:rPr>
    </w:pPr>
    <w:r>
      <w:rPr>
        <w:b/>
        <w:sz w:val="22"/>
        <w:szCs w:val="22"/>
        <w:lang w:val="uk-UA"/>
      </w:rPr>
      <w:t xml:space="preserve">Приклад розв’язання завдання </w:t>
    </w:r>
  </w:p>
  <w:p w:rsidR="00D24CD8" w:rsidRDefault="00D24CD8" w:rsidP="009F6900">
    <w:pPr>
      <w:pStyle w:val="a3"/>
      <w:spacing w:before="0" w:beforeAutospacing="0" w:after="0" w:afterAutospacing="0"/>
      <w:ind w:firstLine="450"/>
      <w:jc w:val="right"/>
      <w:rPr>
        <w:b/>
        <w:sz w:val="22"/>
        <w:szCs w:val="22"/>
        <w:lang w:val="uk-UA"/>
      </w:rPr>
    </w:pPr>
    <w:r>
      <w:rPr>
        <w:b/>
        <w:sz w:val="22"/>
        <w:szCs w:val="22"/>
        <w:lang w:val="uk-UA"/>
      </w:rPr>
      <w:t>«</w:t>
    </w:r>
    <w:r w:rsidR="009F6900">
      <w:rPr>
        <w:b/>
        <w:sz w:val="22"/>
        <w:szCs w:val="22"/>
        <w:lang w:val="uk-UA"/>
      </w:rPr>
      <w:t>Оцінка ступеню ризику альтернативних рішень</w:t>
    </w:r>
    <w:r>
      <w:rPr>
        <w:b/>
        <w:sz w:val="22"/>
        <w:szCs w:val="22"/>
        <w:lang w:val="uk-UA"/>
      </w:rPr>
      <w:t xml:space="preserve">» </w:t>
    </w:r>
  </w:p>
  <w:p w:rsidR="00D24CD8" w:rsidRDefault="00D24CD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A58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D8"/>
    <w:rsid w:val="00154BFD"/>
    <w:rsid w:val="009F6900"/>
    <w:rsid w:val="00BC6968"/>
    <w:rsid w:val="00D2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D093"/>
  <w15:chartTrackingRefBased/>
  <w15:docId w15:val="{E40FE9E4-CECC-4925-B9A9-5B87583B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4CD8"/>
    <w:pPr>
      <w:spacing w:after="200" w:line="276" w:lineRule="auto"/>
    </w:pPr>
    <w:rPr>
      <w:rFonts w:ascii="Times New Roman" w:eastAsia="Calibri" w:hAnsi="Times New Roman" w:cs="Times New Roman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CD8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table" w:styleId="a4">
    <w:name w:val="Table Grid"/>
    <w:basedOn w:val="a1"/>
    <w:rsid w:val="00D24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24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24CD8"/>
    <w:rPr>
      <w:rFonts w:ascii="Times New Roman" w:eastAsia="Calibri" w:hAnsi="Times New Roman" w:cs="Times New Roman"/>
      <w:sz w:val="16"/>
      <w:szCs w:val="24"/>
    </w:rPr>
  </w:style>
  <w:style w:type="paragraph" w:styleId="a7">
    <w:name w:val="footer"/>
    <w:basedOn w:val="a"/>
    <w:link w:val="a8"/>
    <w:uiPriority w:val="99"/>
    <w:unhideWhenUsed/>
    <w:rsid w:val="00D24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24CD8"/>
    <w:rPr>
      <w:rFonts w:ascii="Times New Roman" w:eastAsia="Calibri" w:hAnsi="Times New Roman" w:cs="Times New Roman"/>
      <w:sz w:val="16"/>
      <w:szCs w:val="24"/>
    </w:rPr>
  </w:style>
  <w:style w:type="paragraph" w:styleId="2">
    <w:name w:val="Body Text Indent 2"/>
    <w:basedOn w:val="a"/>
    <w:link w:val="20"/>
    <w:rsid w:val="00BC6968"/>
    <w:pPr>
      <w:spacing w:after="0" w:line="360" w:lineRule="auto"/>
      <w:ind w:firstLine="567"/>
      <w:jc w:val="both"/>
    </w:pPr>
    <w:rPr>
      <w:rFonts w:eastAsia="Times New Roman"/>
      <w:sz w:val="28"/>
      <w:szCs w:val="20"/>
      <w:lang w:val="uk-UA" w:eastAsia="ru-RU"/>
    </w:rPr>
  </w:style>
  <w:style w:type="character" w:customStyle="1" w:styleId="20">
    <w:name w:val="Основний текст з відступом 2 Знак"/>
    <w:basedOn w:val="a0"/>
    <w:link w:val="2"/>
    <w:rsid w:val="00BC6968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Ivashchenko</dc:creator>
  <cp:keywords/>
  <dc:description/>
  <cp:lastModifiedBy>Maryna Ivashchenko</cp:lastModifiedBy>
  <cp:revision>2</cp:revision>
  <dcterms:created xsi:type="dcterms:W3CDTF">2022-01-31T19:21:00Z</dcterms:created>
  <dcterms:modified xsi:type="dcterms:W3CDTF">2022-01-31T19:21:00Z</dcterms:modified>
</cp:coreProperties>
</file>