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BFE" w:rsidRPr="00E71BFE" w:rsidRDefault="00E71BFE" w:rsidP="00E71BFE">
      <w:pPr>
        <w:pStyle w:val="1"/>
        <w:rPr>
          <w:rStyle w:val="FontStyle30"/>
          <w:sz w:val="28"/>
          <w:szCs w:val="28"/>
        </w:rPr>
      </w:pPr>
      <w:r w:rsidRPr="000D410B">
        <w:rPr>
          <w:rStyle w:val="FontStyle30"/>
          <w:sz w:val="28"/>
          <w:szCs w:val="28"/>
          <w:highlight w:val="yellow"/>
        </w:rPr>
        <w:t>ВСТУП</w:t>
      </w:r>
    </w:p>
    <w:p w:rsidR="00E71BFE" w:rsidRPr="00E71BFE" w:rsidRDefault="00E71BFE" w:rsidP="00E71BFE">
      <w:pPr>
        <w:pStyle w:val="Style3"/>
        <w:widowControl/>
        <w:tabs>
          <w:tab w:val="left" w:pos="1276"/>
          <w:tab w:val="left" w:pos="1985"/>
          <w:tab w:val="left" w:pos="10348"/>
          <w:tab w:val="left" w:pos="10632"/>
        </w:tabs>
        <w:spacing w:line="360" w:lineRule="auto"/>
        <w:ind w:right="-2" w:firstLine="567"/>
        <w:rPr>
          <w:rStyle w:val="FontStyle35"/>
          <w:sz w:val="28"/>
          <w:szCs w:val="28"/>
          <w:lang w:val="uk-UA"/>
        </w:rPr>
      </w:pPr>
    </w:p>
    <w:p w:rsidR="009C0F60" w:rsidRDefault="009C0F60" w:rsidP="009C0F6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bCs/>
          <w:sz w:val="28"/>
          <w:szCs w:val="28"/>
          <w:lang w:val="uk-UA"/>
        </w:rPr>
      </w:pPr>
      <w:r w:rsidRPr="000D410B">
        <w:rPr>
          <w:b/>
          <w:bCs/>
          <w:sz w:val="28"/>
          <w:szCs w:val="28"/>
          <w:highlight w:val="yellow"/>
          <w:lang w:val="uk-UA"/>
        </w:rPr>
        <w:t>Актуальність дослідження</w:t>
      </w:r>
      <w:r w:rsidRPr="000D410B">
        <w:rPr>
          <w:bCs/>
          <w:sz w:val="28"/>
          <w:szCs w:val="28"/>
          <w:highlight w:val="yellow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За сучасних умов стійке економічне зростання будь-якої держави неможливе без її активного включення в систему світогосподарських зв’язків. Рівень міжнародного поділу праці практично не залишив на карті світу країн, економічне життя яких було б ізольовано від світогосподарських процесів і замкнуто у вузьких національних межах. </w:t>
      </w:r>
    </w:p>
    <w:p w:rsidR="009C0F60" w:rsidRDefault="009C0F60" w:rsidP="009C0F6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Поява Китаю як нового актора з потужним економічним потенціалом призводить до  серйозного ускладнення структури світового господарства. З  одного боку, посилився його вплив на  світову економіку, все більш помітний «китайський фактор» розвитку світового господарства, з  іншого, все більш посилюється вплив економічної глобалізації на китайську економіку. Місце Китаю в  сучасній глобальній економіці визначається його економічною потужністю, роллю «світової фабрики».  Збільшення частки Китаю в світовій торгівлі є особливо вражаючим на ринках окремих продуктів. </w:t>
      </w:r>
    </w:p>
    <w:p w:rsidR="00E71BFE" w:rsidRPr="00E71BFE" w:rsidRDefault="00E71BFE" w:rsidP="00E7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bCs/>
          <w:sz w:val="28"/>
          <w:szCs w:val="28"/>
          <w:lang w:val="uk-UA"/>
        </w:rPr>
      </w:pPr>
      <w:r w:rsidRPr="000D410B">
        <w:rPr>
          <w:rStyle w:val="FontStyle30"/>
          <w:sz w:val="28"/>
          <w:szCs w:val="28"/>
          <w:highlight w:val="yellow"/>
          <w:lang w:val="uk-UA"/>
        </w:rPr>
        <w:t>Актуальність обраного напряму дослідження підтверджують наукові праці</w:t>
      </w:r>
      <w:r w:rsidRPr="000D410B">
        <w:rPr>
          <w:rStyle w:val="FontStyle30"/>
          <w:sz w:val="28"/>
          <w:szCs w:val="28"/>
          <w:highlight w:val="yellow"/>
          <w:lang w:val="uk-UA"/>
        </w:rPr>
        <w:t>:</w:t>
      </w:r>
      <w:r>
        <w:rPr>
          <w:rStyle w:val="FontStyle30"/>
          <w:sz w:val="28"/>
          <w:szCs w:val="28"/>
          <w:lang w:val="uk-UA"/>
        </w:rPr>
        <w:t xml:space="preserve"> </w:t>
      </w:r>
      <w:r w:rsidR="009C0F60" w:rsidRPr="009C0F60">
        <w:rPr>
          <w:bCs/>
          <w:sz w:val="28"/>
          <w:szCs w:val="28"/>
          <w:lang w:val="uk-UA"/>
        </w:rPr>
        <w:t>К. Мироненк</w:t>
      </w:r>
      <w:r w:rsidR="009C0F60">
        <w:rPr>
          <w:bCs/>
          <w:sz w:val="28"/>
          <w:szCs w:val="28"/>
          <w:lang w:val="uk-UA"/>
        </w:rPr>
        <w:t>а</w:t>
      </w:r>
      <w:r w:rsidR="009C0F60" w:rsidRPr="009C0F60">
        <w:rPr>
          <w:bCs/>
          <w:sz w:val="28"/>
          <w:szCs w:val="28"/>
          <w:lang w:val="uk-UA"/>
        </w:rPr>
        <w:t>,  Ч. Цзи, Х. Аньган, А. Гончарук</w:t>
      </w:r>
      <w:r w:rsidR="009C0F60">
        <w:rPr>
          <w:bCs/>
          <w:sz w:val="28"/>
          <w:szCs w:val="28"/>
          <w:lang w:val="uk-UA"/>
        </w:rPr>
        <w:t>а</w:t>
      </w:r>
      <w:r w:rsidR="009C0F60" w:rsidRPr="009C0F60">
        <w:rPr>
          <w:bCs/>
          <w:sz w:val="28"/>
          <w:szCs w:val="28"/>
          <w:lang w:val="uk-UA"/>
        </w:rPr>
        <w:t>, А. Оніщенк</w:t>
      </w:r>
      <w:r w:rsidR="009C0F60">
        <w:rPr>
          <w:bCs/>
          <w:sz w:val="28"/>
          <w:szCs w:val="28"/>
          <w:lang w:val="uk-UA"/>
        </w:rPr>
        <w:t>а</w:t>
      </w:r>
      <w:r w:rsidR="009C0F60" w:rsidRPr="009C0F60">
        <w:rPr>
          <w:bCs/>
          <w:sz w:val="28"/>
          <w:szCs w:val="28"/>
          <w:lang w:val="uk-UA"/>
        </w:rPr>
        <w:t>, Ю.</w:t>
      </w:r>
      <w:r w:rsidR="009C0F60">
        <w:rPr>
          <w:bCs/>
          <w:sz w:val="28"/>
          <w:szCs w:val="28"/>
          <w:lang w:val="uk-UA"/>
        </w:rPr>
        <w:t> </w:t>
      </w:r>
      <w:r w:rsidR="009C0F60" w:rsidRPr="009C0F60">
        <w:rPr>
          <w:bCs/>
          <w:sz w:val="28"/>
          <w:szCs w:val="28"/>
          <w:lang w:val="uk-UA"/>
        </w:rPr>
        <w:t>Пахомов</w:t>
      </w:r>
      <w:r w:rsidR="009C0F60">
        <w:rPr>
          <w:bCs/>
          <w:sz w:val="28"/>
          <w:szCs w:val="28"/>
          <w:lang w:val="uk-UA"/>
        </w:rPr>
        <w:t>а</w:t>
      </w:r>
      <w:r w:rsidR="009C0F60" w:rsidRPr="009C0F60">
        <w:rPr>
          <w:bCs/>
          <w:sz w:val="28"/>
          <w:szCs w:val="28"/>
          <w:lang w:val="uk-UA"/>
        </w:rPr>
        <w:t>, Л. Понкратова, О. Шевчук</w:t>
      </w:r>
      <w:r w:rsidR="009C0F60">
        <w:rPr>
          <w:bCs/>
          <w:sz w:val="28"/>
          <w:szCs w:val="28"/>
          <w:lang w:val="uk-UA"/>
        </w:rPr>
        <w:t>а</w:t>
      </w:r>
      <w:r w:rsidR="009C0F60" w:rsidRPr="009C0F60">
        <w:rPr>
          <w:bCs/>
          <w:sz w:val="28"/>
          <w:szCs w:val="28"/>
          <w:lang w:val="uk-UA"/>
        </w:rPr>
        <w:t>, Н. Ван, С. Чжан, С. Чжао та ін</w:t>
      </w:r>
      <w:r w:rsidRPr="00E71BFE">
        <w:rPr>
          <w:bCs/>
          <w:sz w:val="28"/>
          <w:szCs w:val="28"/>
          <w:lang w:val="uk-UA"/>
        </w:rPr>
        <w:t>.</w:t>
      </w:r>
    </w:p>
    <w:p w:rsidR="009C0F60" w:rsidRDefault="009C0F60" w:rsidP="009C0F6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bCs/>
          <w:sz w:val="28"/>
          <w:szCs w:val="28"/>
          <w:lang w:val="uk-UA"/>
        </w:rPr>
      </w:pPr>
      <w:r w:rsidRPr="000D410B">
        <w:rPr>
          <w:b/>
          <w:bCs/>
          <w:sz w:val="28"/>
          <w:szCs w:val="28"/>
          <w:highlight w:val="yellow"/>
          <w:lang w:val="uk-UA"/>
        </w:rPr>
        <w:t>Метою курсової роботи</w:t>
      </w:r>
      <w:r w:rsidRPr="000D410B">
        <w:rPr>
          <w:bCs/>
          <w:sz w:val="28"/>
          <w:szCs w:val="28"/>
          <w:highlight w:val="yellow"/>
          <w:lang w:val="uk-UA"/>
        </w:rPr>
        <w:t xml:space="preserve"> </w:t>
      </w:r>
      <w:r w:rsidRPr="000D410B">
        <w:rPr>
          <w:bCs/>
          <w:sz w:val="28"/>
          <w:szCs w:val="28"/>
          <w:highlight w:val="yellow"/>
          <w:lang w:val="uk-UA"/>
        </w:rPr>
        <w:t>є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дослід</w:t>
      </w:r>
      <w:r>
        <w:rPr>
          <w:bCs/>
          <w:sz w:val="28"/>
          <w:szCs w:val="28"/>
          <w:lang w:val="uk-UA"/>
        </w:rPr>
        <w:t>ження</w:t>
      </w:r>
      <w:r>
        <w:rPr>
          <w:bCs/>
          <w:sz w:val="28"/>
          <w:szCs w:val="28"/>
          <w:lang w:val="uk-UA"/>
        </w:rPr>
        <w:t xml:space="preserve"> особливост</w:t>
      </w:r>
      <w:r>
        <w:rPr>
          <w:bCs/>
          <w:sz w:val="28"/>
          <w:szCs w:val="28"/>
          <w:lang w:val="uk-UA"/>
        </w:rPr>
        <w:t>ей</w:t>
      </w:r>
      <w:r>
        <w:rPr>
          <w:bCs/>
          <w:sz w:val="28"/>
          <w:szCs w:val="28"/>
          <w:lang w:val="uk-UA"/>
        </w:rPr>
        <w:t xml:space="preserve"> зовнішньоторговельної політики Китайської Народної республіки </w:t>
      </w:r>
      <w:r>
        <w:rPr>
          <w:bCs/>
          <w:sz w:val="28"/>
          <w:szCs w:val="28"/>
          <w:lang w:val="uk-UA"/>
        </w:rPr>
        <w:t xml:space="preserve">(далі – КНР) </w:t>
      </w:r>
      <w:r>
        <w:rPr>
          <w:bCs/>
          <w:sz w:val="28"/>
          <w:szCs w:val="28"/>
          <w:lang w:val="uk-UA"/>
        </w:rPr>
        <w:t xml:space="preserve">та подальших </w:t>
      </w:r>
      <w:r>
        <w:rPr>
          <w:bCs/>
          <w:sz w:val="28"/>
          <w:szCs w:val="28"/>
          <w:lang w:val="uk-UA"/>
        </w:rPr>
        <w:softHyphen/>
        <w:t xml:space="preserve"> перспектив її розвитку.</w:t>
      </w:r>
    </w:p>
    <w:p w:rsidR="009C0F60" w:rsidRDefault="009C0F60" w:rsidP="009C0F6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bCs/>
          <w:sz w:val="28"/>
          <w:szCs w:val="28"/>
          <w:lang w:val="uk-UA"/>
        </w:rPr>
      </w:pPr>
      <w:r w:rsidRPr="000D410B">
        <w:rPr>
          <w:bCs/>
          <w:sz w:val="28"/>
          <w:szCs w:val="28"/>
          <w:highlight w:val="yellow"/>
          <w:lang w:val="uk-UA"/>
        </w:rPr>
        <w:t xml:space="preserve">Досягнення мети дослідження передбачало </w:t>
      </w:r>
      <w:r w:rsidRPr="000D410B">
        <w:rPr>
          <w:b/>
          <w:bCs/>
          <w:sz w:val="28"/>
          <w:szCs w:val="28"/>
          <w:highlight w:val="yellow"/>
          <w:lang w:val="uk-UA"/>
        </w:rPr>
        <w:t>розв’язання таких завдань</w:t>
      </w:r>
      <w:r w:rsidRPr="000D410B">
        <w:rPr>
          <w:bCs/>
          <w:sz w:val="28"/>
          <w:szCs w:val="28"/>
          <w:highlight w:val="yellow"/>
          <w:lang w:val="uk-UA"/>
        </w:rPr>
        <w:t>:</w:t>
      </w:r>
    </w:p>
    <w:p w:rsidR="009C0F60" w:rsidRDefault="009C0F60" w:rsidP="009C0F60">
      <w:pPr>
        <w:pStyle w:val="a6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з’ясувати фактори економічного розвитку КНР</w:t>
      </w:r>
      <w:r>
        <w:rPr>
          <w:sz w:val="28"/>
          <w:lang w:val="uk-UA" w:eastAsia="ru-RU"/>
        </w:rPr>
        <w:t>;</w:t>
      </w:r>
    </w:p>
    <w:p w:rsidR="009C0F60" w:rsidRDefault="009C0F60" w:rsidP="009C0F60">
      <w:pPr>
        <w:pStyle w:val="a6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 w:eastAsia="ru-RU"/>
        </w:rPr>
        <w:t>дослідити поточний стан розвитку промисловості та сільського господарства у КНР;</w:t>
      </w:r>
    </w:p>
    <w:p w:rsidR="009C0F60" w:rsidRDefault="009C0F60" w:rsidP="009C0F60">
      <w:pPr>
        <w:pStyle w:val="a6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проаналізувати географічну, галузеву структури </w:t>
      </w:r>
      <w:r>
        <w:rPr>
          <w:sz w:val="28"/>
          <w:lang w:val="uk-UA" w:eastAsia="ru-RU"/>
        </w:rPr>
        <w:t>експорту та імпорту КНР</w:t>
      </w:r>
      <w:r>
        <w:rPr>
          <w:bCs/>
          <w:sz w:val="28"/>
          <w:szCs w:val="28"/>
          <w:lang w:val="uk-UA"/>
        </w:rPr>
        <w:t>;</w:t>
      </w:r>
    </w:p>
    <w:p w:rsidR="009C0F60" w:rsidRDefault="009C0F60" w:rsidP="009C0F60">
      <w:pPr>
        <w:pStyle w:val="a6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 w:eastAsia="ru-RU"/>
        </w:rPr>
        <w:t>виявити проблеми та обґрунтувати перспективи розвитку зовнішньоторговельних відносин України з КНР.</w:t>
      </w:r>
    </w:p>
    <w:p w:rsidR="009C0F60" w:rsidRPr="00E71BFE" w:rsidRDefault="009C0F60" w:rsidP="009C0F60">
      <w:pPr>
        <w:pStyle w:val="Style3"/>
        <w:tabs>
          <w:tab w:val="left" w:pos="1276"/>
          <w:tab w:val="left" w:pos="1985"/>
          <w:tab w:val="left" w:pos="10348"/>
          <w:tab w:val="left" w:pos="10632"/>
        </w:tabs>
        <w:spacing w:line="360" w:lineRule="auto"/>
        <w:ind w:right="-2" w:firstLine="567"/>
        <w:rPr>
          <w:rStyle w:val="FontStyle30"/>
          <w:sz w:val="28"/>
          <w:szCs w:val="28"/>
          <w:lang w:val="uk-UA"/>
        </w:rPr>
      </w:pPr>
      <w:r w:rsidRPr="000D410B">
        <w:rPr>
          <w:rStyle w:val="FontStyle30"/>
          <w:sz w:val="28"/>
          <w:szCs w:val="28"/>
          <w:highlight w:val="yellow"/>
          <w:lang w:val="uk-UA"/>
        </w:rPr>
        <w:lastRenderedPageBreak/>
        <w:t>Актуальність та недостатня розробленість зазначених питань зумовили вибір теми дослідження</w:t>
      </w:r>
      <w:r w:rsidRPr="00E71BFE">
        <w:rPr>
          <w:rStyle w:val="FontStyle30"/>
          <w:sz w:val="28"/>
          <w:szCs w:val="28"/>
          <w:lang w:val="uk-UA"/>
        </w:rPr>
        <w:t xml:space="preserve"> </w:t>
      </w:r>
      <w:r w:rsidRPr="00E71BFE">
        <w:rPr>
          <w:rStyle w:val="FontStyle30"/>
          <w:b/>
          <w:sz w:val="28"/>
          <w:szCs w:val="28"/>
          <w:lang w:val="uk-UA"/>
        </w:rPr>
        <w:t>«</w:t>
      </w:r>
      <w:r>
        <w:rPr>
          <w:rStyle w:val="FontStyle30"/>
          <w:b/>
          <w:sz w:val="28"/>
          <w:szCs w:val="28"/>
          <w:lang w:val="uk-UA"/>
        </w:rPr>
        <w:t>Китай на світовому ринку товарів</w:t>
      </w:r>
      <w:r w:rsidRPr="00E71BFE">
        <w:rPr>
          <w:rStyle w:val="FontStyle30"/>
          <w:b/>
          <w:sz w:val="28"/>
          <w:szCs w:val="28"/>
          <w:lang w:val="uk-UA"/>
        </w:rPr>
        <w:t>»</w:t>
      </w:r>
      <w:r w:rsidRPr="00E71BFE">
        <w:rPr>
          <w:rStyle w:val="FontStyle30"/>
          <w:sz w:val="28"/>
          <w:szCs w:val="28"/>
          <w:lang w:val="uk-UA"/>
        </w:rPr>
        <w:t>.</w:t>
      </w:r>
    </w:p>
    <w:p w:rsidR="009C0F60" w:rsidRDefault="009C0F60" w:rsidP="009C0F6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bCs/>
          <w:sz w:val="28"/>
          <w:szCs w:val="28"/>
          <w:lang w:val="uk-UA"/>
        </w:rPr>
      </w:pPr>
      <w:r w:rsidRPr="000D410B">
        <w:rPr>
          <w:b/>
          <w:bCs/>
          <w:sz w:val="28"/>
          <w:szCs w:val="28"/>
          <w:highlight w:val="yellow"/>
          <w:lang w:val="uk-UA"/>
        </w:rPr>
        <w:t>Об’єкт дослідження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>зовнішньоторговельний режим КНР.</w:t>
      </w:r>
    </w:p>
    <w:p w:rsidR="009C0F60" w:rsidRDefault="009C0F60" w:rsidP="009C0F6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bCs/>
          <w:sz w:val="28"/>
          <w:szCs w:val="28"/>
          <w:lang w:val="uk-UA"/>
        </w:rPr>
      </w:pPr>
      <w:r w:rsidRPr="000D410B">
        <w:rPr>
          <w:b/>
          <w:bCs/>
          <w:sz w:val="28"/>
          <w:szCs w:val="28"/>
          <w:highlight w:val="yellow"/>
          <w:lang w:val="uk-UA"/>
        </w:rPr>
        <w:t>Предметом дослідження</w:t>
      </w:r>
      <w:r>
        <w:rPr>
          <w:bCs/>
          <w:sz w:val="28"/>
          <w:szCs w:val="28"/>
          <w:lang w:val="uk-UA"/>
        </w:rPr>
        <w:t xml:space="preserve"> є галузева та географічна структура експорту та імпорту КНР у системі міжнародної торгівлі товарами.</w:t>
      </w:r>
    </w:p>
    <w:p w:rsidR="009C0F60" w:rsidRDefault="009C0F60" w:rsidP="009C0F6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bCs/>
          <w:sz w:val="28"/>
          <w:szCs w:val="28"/>
          <w:lang w:val="uk-UA"/>
        </w:rPr>
      </w:pPr>
      <w:r w:rsidRPr="000D410B">
        <w:rPr>
          <w:b/>
          <w:bCs/>
          <w:sz w:val="28"/>
          <w:szCs w:val="28"/>
          <w:highlight w:val="yellow"/>
          <w:lang w:val="uk-UA"/>
        </w:rPr>
        <w:t>Методи дослідження</w:t>
      </w:r>
      <w:r w:rsidRPr="000D410B">
        <w:rPr>
          <w:bCs/>
          <w:sz w:val="28"/>
          <w:szCs w:val="28"/>
          <w:highlight w:val="yellow"/>
          <w:lang w:val="uk-UA"/>
        </w:rPr>
        <w:t xml:space="preserve">. </w:t>
      </w:r>
      <w:r w:rsidRPr="000D410B">
        <w:rPr>
          <w:rStyle w:val="FontStyle30"/>
          <w:sz w:val="28"/>
          <w:szCs w:val="28"/>
          <w:highlight w:val="yellow"/>
          <w:lang w:val="uk-UA"/>
        </w:rPr>
        <w:t xml:space="preserve">Для розв'язання поставлених завдань було використано такі загальнонаукові методи: </w:t>
      </w:r>
      <w:r w:rsidRPr="000D410B">
        <w:rPr>
          <w:bCs/>
          <w:sz w:val="28"/>
          <w:szCs w:val="28"/>
          <w:highlight w:val="yellow"/>
          <w:lang w:val="uk-UA"/>
        </w:rPr>
        <w:t>методи теоретичного узагальнення, аналізу, синтезу, групування, методи порівняння, системного аналізу та ін</w:t>
      </w:r>
      <w:r w:rsidRPr="000D410B">
        <w:rPr>
          <w:bCs/>
          <w:sz w:val="28"/>
          <w:szCs w:val="28"/>
          <w:highlight w:val="yellow"/>
          <w:lang w:val="uk-UA"/>
        </w:rPr>
        <w:t>.</w:t>
      </w:r>
    </w:p>
    <w:p w:rsidR="009C0F60" w:rsidRDefault="00E71BFE" w:rsidP="00E71BFE">
      <w:pPr>
        <w:pStyle w:val="a4"/>
        <w:widowControl/>
        <w:suppressAutoHyphens/>
        <w:ind w:firstLine="567"/>
      </w:pPr>
      <w:r w:rsidRPr="000D410B">
        <w:rPr>
          <w:rStyle w:val="FontStyle35"/>
          <w:sz w:val="28"/>
          <w:szCs w:val="28"/>
          <w:highlight w:val="yellow"/>
          <w:lang w:eastAsia="uk-UA"/>
        </w:rPr>
        <w:t xml:space="preserve">Структура та обсяг </w:t>
      </w:r>
      <w:r w:rsidRPr="000D410B">
        <w:rPr>
          <w:rStyle w:val="FontStyle35"/>
          <w:sz w:val="28"/>
          <w:szCs w:val="28"/>
          <w:highlight w:val="yellow"/>
          <w:lang w:eastAsia="uk-UA"/>
        </w:rPr>
        <w:t xml:space="preserve">курсової </w:t>
      </w:r>
      <w:r w:rsidRPr="000D410B">
        <w:rPr>
          <w:rStyle w:val="FontStyle35"/>
          <w:sz w:val="28"/>
          <w:szCs w:val="28"/>
          <w:highlight w:val="yellow"/>
          <w:lang w:eastAsia="uk-UA"/>
        </w:rPr>
        <w:t xml:space="preserve">роботи. </w:t>
      </w:r>
      <w:r w:rsidRPr="000D410B">
        <w:rPr>
          <w:rStyle w:val="FontStyle30"/>
          <w:sz w:val="28"/>
          <w:szCs w:val="28"/>
          <w:highlight w:val="yellow"/>
        </w:rPr>
        <w:t xml:space="preserve">Робота складається </w:t>
      </w:r>
      <w:r w:rsidRPr="000D410B">
        <w:rPr>
          <w:highlight w:val="yellow"/>
        </w:rPr>
        <w:t>з вступу, двох розділів, висновків, списку використан</w:t>
      </w:r>
      <w:r w:rsidRPr="000D410B">
        <w:rPr>
          <w:highlight w:val="yellow"/>
        </w:rPr>
        <w:t>ої літератури</w:t>
      </w:r>
      <w:r w:rsidRPr="000D410B">
        <w:rPr>
          <w:highlight w:val="yellow"/>
        </w:rPr>
        <w:t>. У роботі використано</w:t>
      </w:r>
      <w:r w:rsidRPr="00E71BFE">
        <w:t xml:space="preserve"> </w:t>
      </w:r>
      <w:r>
        <w:t xml:space="preserve">24 </w:t>
      </w:r>
      <w:r w:rsidRPr="000D410B">
        <w:rPr>
          <w:highlight w:val="yellow"/>
        </w:rPr>
        <w:t>джерела. Повний обсяг роботи складає</w:t>
      </w:r>
      <w:r w:rsidRPr="00E71BFE">
        <w:t xml:space="preserve"> </w:t>
      </w:r>
      <w:r>
        <w:rPr>
          <w:color w:val="auto"/>
        </w:rPr>
        <w:t>42</w:t>
      </w:r>
      <w:r w:rsidRPr="00E71BFE">
        <w:t xml:space="preserve"> </w:t>
      </w:r>
      <w:r w:rsidRPr="000D410B">
        <w:rPr>
          <w:highlight w:val="yellow"/>
        </w:rPr>
        <w:t>сторінк</w:t>
      </w:r>
      <w:r w:rsidRPr="000D410B">
        <w:rPr>
          <w:highlight w:val="yellow"/>
        </w:rPr>
        <w:t>и</w:t>
      </w:r>
      <w:r w:rsidRPr="000D410B">
        <w:rPr>
          <w:highlight w:val="yellow"/>
        </w:rPr>
        <w:t>, з яких основний текст викладено на</w:t>
      </w:r>
      <w:r w:rsidRPr="00E71BFE">
        <w:t xml:space="preserve"> </w:t>
      </w:r>
      <w:r w:rsidR="009C0F60">
        <w:t>37</w:t>
      </w:r>
      <w:r w:rsidRPr="00E71BFE">
        <w:t xml:space="preserve"> </w:t>
      </w:r>
      <w:r w:rsidRPr="000D410B">
        <w:rPr>
          <w:highlight w:val="yellow"/>
        </w:rPr>
        <w:t>сторінках. Подано</w:t>
      </w:r>
      <w:r w:rsidRPr="00E71BFE">
        <w:t xml:space="preserve"> </w:t>
      </w:r>
      <w:r w:rsidR="009C0F60">
        <w:t>2</w:t>
      </w:r>
      <w:r w:rsidRPr="00E71BFE">
        <w:t xml:space="preserve"> </w:t>
      </w:r>
      <w:r w:rsidRPr="000D410B">
        <w:rPr>
          <w:highlight w:val="yellow"/>
        </w:rPr>
        <w:t>рисунк</w:t>
      </w:r>
      <w:r w:rsidR="009C0F60" w:rsidRPr="000D410B">
        <w:rPr>
          <w:highlight w:val="yellow"/>
        </w:rPr>
        <w:t>и,</w:t>
      </w:r>
      <w:r w:rsidR="009C0F60">
        <w:t xml:space="preserve"> 3 </w:t>
      </w:r>
      <w:r w:rsidR="009C0F60" w:rsidRPr="000D410B">
        <w:rPr>
          <w:highlight w:val="yellow"/>
        </w:rPr>
        <w:t>таблиці</w:t>
      </w:r>
      <w:r w:rsidRPr="000D410B">
        <w:rPr>
          <w:highlight w:val="yellow"/>
        </w:rPr>
        <w:t>.</w:t>
      </w:r>
    </w:p>
    <w:p w:rsidR="009C0F60" w:rsidRDefault="009C0F60">
      <w:pPr>
        <w:spacing w:after="160" w:line="259" w:lineRule="auto"/>
        <w:rPr>
          <w:rFonts w:eastAsia="MS Mincho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sectPr w:rsidR="009C0F60" w:rsidSect="009C0F6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E20EB"/>
    <w:multiLevelType w:val="hybridMultilevel"/>
    <w:tmpl w:val="13306C68"/>
    <w:lvl w:ilvl="0" w:tplc="B106DC06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9ED4F57"/>
    <w:multiLevelType w:val="hybridMultilevel"/>
    <w:tmpl w:val="707EFD1A"/>
    <w:lvl w:ilvl="0" w:tplc="69708908">
      <w:start w:val="28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67860A7"/>
    <w:multiLevelType w:val="hybridMultilevel"/>
    <w:tmpl w:val="60DA22D4"/>
    <w:lvl w:ilvl="0" w:tplc="86DAF624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FE"/>
    <w:rsid w:val="000D410B"/>
    <w:rsid w:val="009C0F60"/>
    <w:rsid w:val="00E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E96C"/>
  <w15:chartTrackingRefBased/>
  <w15:docId w15:val="{C4FE29DC-EC6A-495B-9E3D-6DBD8C02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BFE"/>
    <w:pPr>
      <w:spacing w:after="200" w:line="276" w:lineRule="auto"/>
    </w:pPr>
    <w:rPr>
      <w:rFonts w:ascii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71BFE"/>
    <w:pPr>
      <w:widowControl w:val="0"/>
      <w:autoSpaceDE w:val="0"/>
      <w:autoSpaceDN w:val="0"/>
      <w:adjustRightInd w:val="0"/>
      <w:spacing w:after="0" w:line="485" w:lineRule="exact"/>
      <w:ind w:firstLine="696"/>
      <w:jc w:val="both"/>
    </w:pPr>
    <w:rPr>
      <w:rFonts w:eastAsiaTheme="minorEastAsia"/>
      <w:sz w:val="24"/>
      <w:lang w:eastAsia="ru-RU"/>
    </w:rPr>
  </w:style>
  <w:style w:type="paragraph" w:customStyle="1" w:styleId="Style12">
    <w:name w:val="Style12"/>
    <w:basedOn w:val="a"/>
    <w:uiPriority w:val="99"/>
    <w:rsid w:val="00E71BFE"/>
    <w:pPr>
      <w:widowControl w:val="0"/>
      <w:autoSpaceDE w:val="0"/>
      <w:autoSpaceDN w:val="0"/>
      <w:adjustRightInd w:val="0"/>
      <w:spacing w:after="0" w:line="487" w:lineRule="exact"/>
      <w:ind w:firstLine="538"/>
      <w:jc w:val="both"/>
    </w:pPr>
    <w:rPr>
      <w:rFonts w:eastAsiaTheme="minorEastAsia"/>
      <w:sz w:val="24"/>
      <w:lang w:eastAsia="ru-RU"/>
    </w:rPr>
  </w:style>
  <w:style w:type="paragraph" w:customStyle="1" w:styleId="Style14">
    <w:name w:val="Style14"/>
    <w:basedOn w:val="a"/>
    <w:uiPriority w:val="99"/>
    <w:semiHidden/>
    <w:rsid w:val="00E71BF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lang w:eastAsia="ru-RU"/>
    </w:rPr>
  </w:style>
  <w:style w:type="character" w:customStyle="1" w:styleId="a3">
    <w:name w:val="Дис.текст Знак"/>
    <w:link w:val="a4"/>
    <w:semiHidden/>
    <w:locked/>
    <w:rsid w:val="00E71BFE"/>
    <w:rPr>
      <w:rFonts w:ascii="Times New Roman" w:eastAsia="MS Mincho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paragraph" w:customStyle="1" w:styleId="a4">
    <w:name w:val="Дис.текст"/>
    <w:basedOn w:val="a5"/>
    <w:link w:val="a3"/>
    <w:semiHidden/>
    <w:rsid w:val="00E71BFE"/>
    <w:pPr>
      <w:widowControl w:val="0"/>
      <w:shd w:val="clear" w:color="auto" w:fill="FFFFFF"/>
      <w:autoSpaceDN w:val="0"/>
      <w:spacing w:after="0" w:line="360" w:lineRule="auto"/>
      <w:ind w:firstLine="709"/>
      <w:jc w:val="both"/>
    </w:pPr>
    <w:rPr>
      <w:rFonts w:eastAsia="MS Mincho"/>
      <w:color w:val="000000"/>
      <w:sz w:val="28"/>
      <w:szCs w:val="28"/>
      <w:lang w:val="uk-UA" w:eastAsia="ru-RU"/>
    </w:rPr>
  </w:style>
  <w:style w:type="character" w:customStyle="1" w:styleId="FontStyle30">
    <w:name w:val="Font Style30"/>
    <w:basedOn w:val="a0"/>
    <w:uiPriority w:val="99"/>
    <w:rsid w:val="00E71BFE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basedOn w:val="a0"/>
    <w:uiPriority w:val="99"/>
    <w:rsid w:val="00E71BF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01">
    <w:name w:val="fontstyle01"/>
    <w:basedOn w:val="a0"/>
    <w:rsid w:val="00E71BF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Стиль1"/>
    <w:basedOn w:val="a"/>
    <w:link w:val="10"/>
    <w:qFormat/>
    <w:rsid w:val="00E71BFE"/>
    <w:pPr>
      <w:tabs>
        <w:tab w:val="left" w:pos="1276"/>
        <w:tab w:val="left" w:pos="1985"/>
        <w:tab w:val="left" w:pos="10348"/>
        <w:tab w:val="left" w:pos="10632"/>
      </w:tabs>
      <w:autoSpaceDE w:val="0"/>
      <w:autoSpaceDN w:val="0"/>
      <w:adjustRightInd w:val="0"/>
      <w:spacing w:after="0" w:line="360" w:lineRule="auto"/>
      <w:jc w:val="center"/>
    </w:pPr>
    <w:rPr>
      <w:rFonts w:eastAsiaTheme="minorEastAsia"/>
      <w:b/>
      <w:caps/>
      <w:sz w:val="28"/>
      <w:szCs w:val="28"/>
      <w:lang w:val="uk-UA" w:eastAsia="uk-UA"/>
    </w:rPr>
  </w:style>
  <w:style w:type="character" w:customStyle="1" w:styleId="10">
    <w:name w:val="Стиль1 Знак"/>
    <w:basedOn w:val="a0"/>
    <w:link w:val="1"/>
    <w:rsid w:val="00E71BFE"/>
    <w:rPr>
      <w:rFonts w:ascii="Times New Roman" w:eastAsiaTheme="minorEastAsia" w:hAnsi="Times New Roman" w:cs="Times New Roman"/>
      <w:b/>
      <w:caps/>
      <w:sz w:val="28"/>
      <w:szCs w:val="28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E71BFE"/>
    <w:rPr>
      <w:sz w:val="24"/>
    </w:rPr>
  </w:style>
  <w:style w:type="paragraph" w:styleId="a6">
    <w:name w:val="List Paragraph"/>
    <w:basedOn w:val="a"/>
    <w:uiPriority w:val="34"/>
    <w:qFormat/>
    <w:rsid w:val="00E7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Ivashchenko</dc:creator>
  <cp:keywords/>
  <dc:description/>
  <cp:lastModifiedBy>Maryna Ivashchenko</cp:lastModifiedBy>
  <cp:revision>1</cp:revision>
  <dcterms:created xsi:type="dcterms:W3CDTF">2019-12-01T21:50:00Z</dcterms:created>
  <dcterms:modified xsi:type="dcterms:W3CDTF">2019-12-01T22:12:00Z</dcterms:modified>
</cp:coreProperties>
</file>