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D4CB0" w14:textId="7B5EC301" w:rsidR="0096768F" w:rsidRPr="007C5BF4" w:rsidRDefault="007C5BF4" w:rsidP="007C5B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5BF4">
        <w:rPr>
          <w:rFonts w:ascii="Times New Roman" w:hAnsi="Times New Roman" w:cs="Times New Roman"/>
          <w:sz w:val="28"/>
          <w:szCs w:val="28"/>
          <w:lang w:val="uk-UA"/>
        </w:rPr>
        <w:t>Лекція 12</w:t>
      </w:r>
    </w:p>
    <w:p w14:paraId="7D6BF638" w14:textId="7323F101" w:rsidR="007C5BF4" w:rsidRPr="007C5BF4" w:rsidRDefault="007C5BF4" w:rsidP="007C5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Тема 5.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7C5B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</w:p>
    <w:p w14:paraId="0A1901D3" w14:textId="77777777" w:rsidR="007C5BF4" w:rsidRPr="007C5BF4" w:rsidRDefault="007C5BF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5BF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C5BF4">
        <w:rPr>
          <w:rFonts w:ascii="Times New Roman" w:hAnsi="Times New Roman" w:cs="Times New Roman"/>
          <w:sz w:val="28"/>
          <w:szCs w:val="28"/>
        </w:rPr>
        <w:t>Заходи</w:t>
      </w:r>
      <w:r w:rsidRPr="007C5B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5BF4">
        <w:rPr>
          <w:rFonts w:ascii="Times New Roman" w:hAnsi="Times New Roman" w:cs="Times New Roman"/>
          <w:sz w:val="28"/>
          <w:szCs w:val="28"/>
        </w:rPr>
        <w:t>по</w:t>
      </w:r>
      <w:r w:rsidRPr="007C5B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5BF4">
        <w:rPr>
          <w:rFonts w:ascii="Times New Roman" w:hAnsi="Times New Roman" w:cs="Times New Roman"/>
          <w:sz w:val="28"/>
          <w:szCs w:val="28"/>
        </w:rPr>
        <w:t>благоустрою</w:t>
      </w:r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7C5BF4">
        <w:rPr>
          <w:rFonts w:ascii="Times New Roman" w:hAnsi="Times New Roman" w:cs="Times New Roman"/>
          <w:sz w:val="28"/>
          <w:szCs w:val="28"/>
        </w:rPr>
        <w:t>.</w:t>
      </w:r>
      <w:r w:rsidRPr="007C5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8363B9" w14:textId="77777777" w:rsidR="007C5BF4" w:rsidRDefault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Pr="007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сітки</w:t>
      </w:r>
      <w:proofErr w:type="spellEnd"/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5BF4">
        <w:rPr>
          <w:rFonts w:ascii="Times New Roman" w:hAnsi="Times New Roman" w:cs="Times New Roman"/>
          <w:sz w:val="28"/>
          <w:szCs w:val="28"/>
        </w:rPr>
        <w:t>та</w:t>
      </w:r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C5B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12B020" w14:textId="77777777" w:rsidR="007C5BF4" w:rsidRDefault="007C5BF4">
      <w:pPr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Шляхове</w:t>
      </w:r>
      <w:proofErr w:type="spellEnd"/>
      <w:r w:rsidRPr="007C5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7C5BF4">
        <w:rPr>
          <w:rFonts w:ascii="Times New Roman" w:hAnsi="Times New Roman" w:cs="Times New Roman"/>
          <w:sz w:val="28"/>
          <w:szCs w:val="28"/>
        </w:rPr>
        <w:t>.</w:t>
      </w:r>
      <w:r w:rsidRPr="007C5B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44E1BAFC" w14:textId="3BB25EB2" w:rsidR="007C5BF4" w:rsidRDefault="007C5BF4">
      <w:pPr>
        <w:rPr>
          <w:sz w:val="24"/>
          <w:szCs w:val="24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4.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Вертикальне</w:t>
      </w:r>
      <w:proofErr w:type="spellEnd"/>
      <w:r w:rsidRPr="007C5B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7C5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F2237">
        <w:rPr>
          <w:sz w:val="24"/>
          <w:szCs w:val="24"/>
        </w:rPr>
        <w:t>.</w:t>
      </w:r>
    </w:p>
    <w:p w14:paraId="44E79B1F" w14:textId="77777777" w:rsidR="00E178AF" w:rsidRDefault="00E178AF">
      <w:pPr>
        <w:rPr>
          <w:sz w:val="24"/>
          <w:szCs w:val="24"/>
        </w:rPr>
      </w:pPr>
    </w:p>
    <w:p w14:paraId="4474AC43" w14:textId="77777777" w:rsidR="00C521E5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8A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521E5" w:rsidRPr="007C5BF4">
        <w:rPr>
          <w:rFonts w:ascii="Times New Roman" w:hAnsi="Times New Roman" w:cs="Times New Roman"/>
          <w:sz w:val="28"/>
          <w:szCs w:val="28"/>
        </w:rPr>
        <w:t>Заходи</w:t>
      </w:r>
      <w:r w:rsidR="00C521E5" w:rsidRPr="007C5B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521E5" w:rsidRPr="007C5BF4">
        <w:rPr>
          <w:rFonts w:ascii="Times New Roman" w:hAnsi="Times New Roman" w:cs="Times New Roman"/>
          <w:sz w:val="28"/>
          <w:szCs w:val="28"/>
        </w:rPr>
        <w:t>по</w:t>
      </w:r>
      <w:r w:rsidR="00C521E5" w:rsidRPr="007C5B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521E5" w:rsidRPr="007C5BF4">
        <w:rPr>
          <w:rFonts w:ascii="Times New Roman" w:hAnsi="Times New Roman" w:cs="Times New Roman"/>
          <w:sz w:val="28"/>
          <w:szCs w:val="28"/>
        </w:rPr>
        <w:t>благоустрою</w:t>
      </w:r>
      <w:r w:rsidR="00C521E5"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521E5" w:rsidRPr="007C5BF4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C521E5"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521E5" w:rsidRPr="007C5BF4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C521E5" w:rsidRPr="00E178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D2D19" w14:textId="302632B9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ландшафтної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артектурно-просторової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естетичної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пункту,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комфортні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архітектурних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декоративне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озеленення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квіткове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геопластику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брукування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улаштування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підпірних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стінок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сходів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пандусів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16855" w14:textId="77777777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візуально-просторової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підпорядковане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об'ємно-просторовому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масштабності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архітектурно-художньої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червоних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бокової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видимості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Перед фасадами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стендів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улаштовується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оглядовий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завширшки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до 5 м. </w:t>
      </w:r>
    </w:p>
    <w:p w14:paraId="1F0F3B49" w14:textId="77777777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передбачаються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майданчиках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перед входами в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будівдю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сквері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розміщується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головної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- 30-50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брукування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плити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асфальт) 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1,1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одного жителя,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розподільні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твердим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покриттям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перед входами до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виходами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них.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влаштовуються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0,15-0,3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одного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1FAB8E" w14:textId="77777777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подвір'я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клубі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), торговому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комплексі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готелі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комбінаті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гуртожитку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На них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улаштовуються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контейнерами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навісом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дощу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подвір'я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тверде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мінімальним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ухилом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4-5% для скиду води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розворотний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транспорту.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8AF">
        <w:rPr>
          <w:rFonts w:ascii="Times New Roman" w:hAnsi="Times New Roman" w:cs="Times New Roman"/>
          <w:sz w:val="28"/>
          <w:szCs w:val="28"/>
          <w:lang w:val="uk-UA"/>
        </w:rPr>
        <w:t xml:space="preserve">Зовнішній благоустрій ділянок садибної забудови включає у себе влаштування огорож, проїздів, доріжок, майданчиків відпочинку, дитячих і господарських майданчиків, декоративне озеленення та квіткове оформлення.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господарями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садиб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архітектурно-планувальними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санітарно-гігієнічними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8CF531" w14:textId="77777777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78AF">
        <w:rPr>
          <w:rFonts w:ascii="Times New Roman" w:hAnsi="Times New Roman" w:cs="Times New Roman"/>
          <w:sz w:val="28"/>
          <w:szCs w:val="28"/>
        </w:rPr>
        <w:lastRenderedPageBreak/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проектуються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0,5-0,6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одного жителя.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активного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та старшого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проектуються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0,8-1,2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одного жителя.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і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настільних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0,05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одного жителя, але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обладнуються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лавками, столами,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альтанками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перголами,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світильниками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урнами.  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внутрішньоквартальному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секційної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влаштовувати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за 100 м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найвіддаленішого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входу до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сміттєзбірників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під'їзди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завширшки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3-5 м 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розворотним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транспорту.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1000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)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: 30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сміттєзбірників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у межах 15-20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; 100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чищення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меблів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килимів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в межах 10-20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; 150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сушіння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білизни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в межах 20-80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суміщення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чищення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килимів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майданчиками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сміттєзбірників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тверде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і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спортом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розміщувати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господарськими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3A37D4" w14:textId="77777777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8A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в'їзді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населений пункт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установлюється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дорожний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знак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пункту.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В'їзний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знак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установлюється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3 м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краю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обочини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дороги 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розширенні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за кюветом 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придорожній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смузі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установці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декоративного знаку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влаштовується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10 х 15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плиточним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брукуванням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лавками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квітником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підходах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майданчика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влаштовуються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перехідно-швидкісні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смуги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розгону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гальмування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автотранспорту, 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короткочасної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транспорту. </w:t>
      </w:r>
    </w:p>
    <w:p w14:paraId="1A5BE4CD" w14:textId="77777777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8A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автобусних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зупинках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пунктах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споруджуються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автопавільйони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напівзакритого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типу 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30-40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розміщуються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2-3 лавки, урна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, декоративна ваза,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криниця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фонтанчик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пиття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автобусна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зупинка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пункту, то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обладнують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надвірним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туалетом,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підвітряного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боку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15 м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автопавільйону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відокремлюють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смугою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42B08F" w14:textId="77777777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8A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раптового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проїзну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ділянками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огорожі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заввишки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до 1м.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Конструкція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огорожі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ГОСТ (на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огорож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C6A1F2D" w14:textId="177613FC" w:rsidR="00E178AF" w:rsidRDefault="00E178AF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Велодоріжки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покриттям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тротуарного типу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передбачаються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одностороннього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смугами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смугами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завширшки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0,8 м.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Під'їзди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проектуються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завширшки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3,5 м.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суміщуються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тротуарами.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торгових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влаштовуватись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12 х 5,5 м.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Водорозбірні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колонки і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криниці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розміщуються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lastRenderedPageBreak/>
        <w:t>кожні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200 м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відступом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на 2,5-3 м на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мйданчиках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розмііром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2,5 х 3 м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твердим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покриттям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ухилом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78A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178AF">
        <w:rPr>
          <w:rFonts w:ascii="Times New Roman" w:hAnsi="Times New Roman" w:cs="Times New Roman"/>
          <w:sz w:val="28"/>
          <w:szCs w:val="28"/>
        </w:rPr>
        <w:t xml:space="preserve"> 4-5%.</w:t>
      </w:r>
    </w:p>
    <w:p w14:paraId="27E97600" w14:textId="4260B478" w:rsidR="00B9403B" w:rsidRDefault="00B9403B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587029A" w14:textId="77777777" w:rsidR="00B9403B" w:rsidRDefault="00B9403B" w:rsidP="00B9403B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Pr="007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сітки</w:t>
      </w:r>
      <w:proofErr w:type="spellEnd"/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5BF4">
        <w:rPr>
          <w:rFonts w:ascii="Times New Roman" w:hAnsi="Times New Roman" w:cs="Times New Roman"/>
          <w:sz w:val="28"/>
          <w:szCs w:val="28"/>
        </w:rPr>
        <w:t>та</w:t>
      </w:r>
      <w:r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C5B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5B85D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940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Водопостачання.</w:t>
      </w:r>
    </w:p>
    <w:p w14:paraId="6A1CEAFE" w14:textId="30E59A41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правило,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централізовані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70141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Децентралізовані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застосовуватись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C0E125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забору води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8A3A4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низкою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E9CC7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видом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об’єкту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обслуговування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залізничні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4FC6B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призначенням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господарсько-питтєві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питтєві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потреби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водою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цехи;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протипожежні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подачу води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гасіння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6467E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способом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подачі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води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гравітаційні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механічною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подачею води (насосами).</w:t>
      </w:r>
    </w:p>
    <w:p w14:paraId="4CF2798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видом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природних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води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є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поверхневих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водосховищ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озер,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2E33B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об’єднанні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роздільні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напівроздільні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08312B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Об’єднані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тих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питтєвої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1а).</w:t>
      </w:r>
    </w:p>
    <w:p w14:paraId="7F715CB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роздільній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характерно те,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одному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водозабору,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1б).</w:t>
      </w:r>
    </w:p>
    <w:p w14:paraId="3AFE530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нежиттєвої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C36A0A" w14:textId="2133D610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FE6A74" wp14:editId="7A90D477">
            <wp:extent cx="4603750" cy="1903095"/>
            <wp:effectExtent l="0" t="0" r="635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0"/>
      </w:tblGrid>
      <w:tr w:rsidR="00B9403B" w:rsidRPr="00B9403B" w14:paraId="565BA94B" w14:textId="77777777" w:rsidTr="00B940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39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90"/>
            </w:tblGrid>
            <w:tr w:rsidR="00B9403B" w:rsidRPr="00B9403B" w14:paraId="5524AF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C7D434" w14:textId="77777777" w:rsidR="00B9403B" w:rsidRPr="00B9403B" w:rsidRDefault="00B9403B" w:rsidP="00B9403B">
                  <w:pPr>
                    <w:spacing w:after="0" w:line="240" w:lineRule="auto"/>
                    <w:ind w:left="-567" w:firstLine="425"/>
                    <w:divId w:val="129764208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9403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Промисловий</w:t>
                  </w:r>
                  <w:proofErr w:type="spellEnd"/>
                  <w:r w:rsidRPr="00B9403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B9403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водозабір</w:t>
                  </w:r>
                  <w:proofErr w:type="spellEnd"/>
                </w:p>
              </w:tc>
            </w:tr>
          </w:tbl>
          <w:p w14:paraId="7B61147B" w14:textId="77777777" w:rsidR="00B9403B" w:rsidRPr="00B9403B" w:rsidRDefault="00B9403B" w:rsidP="00B9403B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7A90C5" w14:textId="77777777" w:rsidR="00B9403B" w:rsidRPr="00B9403B" w:rsidRDefault="00B9403B" w:rsidP="00B9403B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2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0"/>
      </w:tblGrid>
      <w:tr w:rsidR="00B9403B" w:rsidRPr="00B9403B" w14:paraId="3468A881" w14:textId="77777777" w:rsidTr="00B940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39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90"/>
            </w:tblGrid>
            <w:tr w:rsidR="00B9403B" w:rsidRPr="00B9403B" w14:paraId="06F061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1085F9" w14:textId="77777777" w:rsidR="00B9403B" w:rsidRPr="00B9403B" w:rsidRDefault="00B9403B" w:rsidP="00B9403B">
                  <w:pPr>
                    <w:spacing w:after="0" w:line="240" w:lineRule="auto"/>
                    <w:ind w:left="-567" w:firstLine="42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EEB4FFE" w14:textId="77777777" w:rsidR="00B9403B" w:rsidRPr="00B9403B" w:rsidRDefault="00B9403B" w:rsidP="00B9403B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151F8D" w14:textId="77777777" w:rsidR="00B9403B" w:rsidRPr="00B9403B" w:rsidRDefault="00B9403B" w:rsidP="00B9403B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0"/>
      </w:tblGrid>
      <w:tr w:rsidR="00B9403B" w:rsidRPr="00B9403B" w14:paraId="59046EA1" w14:textId="77777777" w:rsidTr="00B940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39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90"/>
            </w:tblGrid>
            <w:tr w:rsidR="00B9403B" w:rsidRPr="00B9403B" w14:paraId="672D93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683105" w14:textId="77777777" w:rsidR="00B9403B" w:rsidRPr="00B9403B" w:rsidRDefault="00B9403B" w:rsidP="00B9403B">
                  <w:pPr>
                    <w:spacing w:after="0" w:line="240" w:lineRule="auto"/>
                    <w:ind w:left="-567" w:firstLine="42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A931E76" w14:textId="77777777" w:rsidR="00B9403B" w:rsidRPr="00B9403B" w:rsidRDefault="00B9403B" w:rsidP="00B9403B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15078F" w14:textId="7554E6F8" w:rsidR="00B9403B" w:rsidRPr="00B9403B" w:rsidRDefault="00B9403B" w:rsidP="00B9403B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46A853" wp14:editId="3366443F">
            <wp:extent cx="4274185" cy="15525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0"/>
      </w:tblGrid>
      <w:tr w:rsidR="00B9403B" w:rsidRPr="00B9403B" w14:paraId="73631BA9" w14:textId="77777777" w:rsidTr="00B940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39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90"/>
            </w:tblGrid>
            <w:tr w:rsidR="00B9403B" w:rsidRPr="00B9403B" w14:paraId="41A37C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CFB019" w14:textId="77777777" w:rsidR="00B9403B" w:rsidRPr="00B9403B" w:rsidRDefault="00B9403B" w:rsidP="00B9403B">
                  <w:pPr>
                    <w:spacing w:after="0" w:line="240" w:lineRule="auto"/>
                    <w:ind w:left="-567" w:firstLine="425"/>
                    <w:divId w:val="166974836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9403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Станція</w:t>
                  </w:r>
                  <w:proofErr w:type="spellEnd"/>
                  <w:r w:rsidRPr="00B9403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очистки води</w:t>
                  </w:r>
                </w:p>
              </w:tc>
            </w:tr>
          </w:tbl>
          <w:p w14:paraId="37FCAC19" w14:textId="77777777" w:rsidR="00B9403B" w:rsidRPr="00B9403B" w:rsidRDefault="00B9403B" w:rsidP="00B9403B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C2927C4" w14:textId="77777777" w:rsidR="00B9403B" w:rsidRPr="00B9403B" w:rsidRDefault="00B9403B" w:rsidP="00B9403B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1E77055" w14:textId="51944FFB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B45D3C" wp14:editId="4C7C2495">
            <wp:extent cx="4433570" cy="189230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3675" w14:textId="20D2997B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69928D" wp14:editId="551EFCBC">
            <wp:extent cx="5177790" cy="723265"/>
            <wp:effectExtent l="0" t="0" r="381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F0E9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 Схема водопроводу</w:t>
      </w:r>
    </w:p>
    <w:p w14:paraId="0BCF2926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об’єднаного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б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роздільного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в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напівроздільного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56A411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Напівроздільні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водозабірні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рис.1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4EEDBB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віддалене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водоспоживання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326DB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способом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механічним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підйомом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2).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спорудженні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гідроенергетичне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надлишкових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66638" w14:textId="5485FC71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27F734" wp14:editId="182B69C9">
            <wp:extent cx="5858510" cy="4018915"/>
            <wp:effectExtent l="0" t="0" r="889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C30D5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2. 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самотічного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водопроводу.</w:t>
      </w:r>
    </w:p>
    <w:p w14:paraId="67AA47F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підйому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прямотічні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3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3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A9716C3" w14:textId="47FBF452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434068" wp14:editId="3E89CFF6">
            <wp:extent cx="4093845" cy="1329055"/>
            <wp:effectExtent l="0" t="0" r="190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0F661" w14:textId="7A6512A2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0AD0A9" wp14:editId="1B1B1E46">
            <wp:extent cx="3785235" cy="1424940"/>
            <wp:effectExtent l="0" t="0" r="571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C246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3.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</w:p>
    <w:p w14:paraId="3D11EBD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прямотічного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б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зворотного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1 – 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добавка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свіжої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води;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2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охолоджуючий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прилад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3 –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насосна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станція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4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споживач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води;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відстійник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очистки води.</w:t>
      </w:r>
    </w:p>
    <w:p w14:paraId="739287F9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Прямотічні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поблизу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потужного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невеликій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підйому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води.</w:t>
      </w:r>
    </w:p>
    <w:p w14:paraId="577763F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оборот у першу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охолоджувальний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дефіциті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зберегти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оборот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включитись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очистки.</w:t>
      </w:r>
    </w:p>
    <w:p w14:paraId="1A4345D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шляхом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техніко-економічного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капіталовкладень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для водопроводу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повинна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DBF32C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передусім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Централізовані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водоприймачі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водопідйомні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акумулюючих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ємностей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води;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води.</w:t>
      </w:r>
    </w:p>
    <w:p w14:paraId="0E0CA83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рис. 4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9D250A" w14:textId="28B1C13E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F3DF66" wp14:editId="4614D810">
            <wp:extent cx="5762625" cy="2392045"/>
            <wp:effectExtent l="0" t="0" r="952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9DD1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Забір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</w:p>
    <w:p w14:paraId="6A8D22B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1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поверхневе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джерело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ереговий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колодязь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; 3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насосна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станція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підйому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4379540B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4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5 – 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резервуар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чистої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води;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6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насосна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станція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ІІ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підйому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водоводи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8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водонапірна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башта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; 9 – 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населений пункт.</w:t>
      </w:r>
    </w:p>
    <w:p w14:paraId="2099FF1E" w14:textId="35F14678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CE3D93" wp14:editId="1DE00374">
            <wp:extent cx="3551555" cy="21583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CE290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Забір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</w:p>
    <w:p w14:paraId="0AEC7EC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артсвердловина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2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занурений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насос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; 3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водоводи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4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водонапірна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башта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5 – населений пункт.</w:t>
      </w:r>
    </w:p>
    <w:p w14:paraId="2DC8C202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4.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пункту.</w:t>
      </w:r>
    </w:p>
    <w:p w14:paraId="09C78A2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Водонапірна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служить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води.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споживачами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насоси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водонапірної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0C330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водонапірна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протилежному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вона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контррезервуваром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поблизу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водонапірної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водонапірний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наземний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резервуар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DFE6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схема водопроводу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спрощується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правило,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часто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очистки.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підйому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подаватися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мережу насосами,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свердловинах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E5F9C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населений пункт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водою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двостороннім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багатостороннім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AD30C0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пункту, коли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води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самотічно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званий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гравітаційний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водопровід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33F237" w14:textId="0F7D6A72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73A63D31" wp14:editId="0F3215D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19425" cy="3686175"/>
            <wp:effectExtent l="0" t="0" r="9525" b="9525"/>
            <wp:wrapSquare wrapText="bothSides"/>
            <wp:docPr id="14" name="Рисунок 14" descr="Подпись:   Рис. 5. Схеми водопровідних мереж а – розгалужено; б- кільцевої;  НС – насосна станція;  ВБ – водонапірна башта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:   Рис. 5. Схеми водопровідних мереж а – розгалужено; б- кільцевої;  НС – насосна станція;  ВБ – водонапірна башта. 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водопровідних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мереж.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водоспоживання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ниток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паралельно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собою.</w:t>
      </w:r>
    </w:p>
    <w:p w14:paraId="08E0183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служить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водопровідна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мережа.</w:t>
      </w:r>
    </w:p>
    <w:p w14:paraId="180E204C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трасуванні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водопровідної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пос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F9B210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конфігурацією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водопровідні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розгалужені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тупикові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, і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кільцеві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замкнуті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Різновидністю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бінована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схема, яка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єд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розгалужену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кретних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5).</w:t>
      </w:r>
    </w:p>
    <w:p w14:paraId="3631015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Розгалужені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водопровідні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невеликих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перерви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водою.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зосередженому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0CD48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Розгалужена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тупикових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42E15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безперервності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водою,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ділянці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магістралі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припиняється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протяжністю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дешевша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кільцева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діаметри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тупикових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першу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замиканням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CAADD5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Кільцеві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водопровідні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потреби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безперебійного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водозабезпечення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гарантує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двостороннього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водою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Протяжність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кільцевих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тупиковими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мережами.</w:t>
      </w:r>
    </w:p>
    <w:p w14:paraId="6E7B69D7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Кільцева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одного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кілець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архітектурно-планувального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8566B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Зважаючи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кільцевої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господарсько-питтєвих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протипожежних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потреб, де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безперебійне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водою.</w:t>
      </w:r>
    </w:p>
    <w:p w14:paraId="6237FD58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водопровідній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магістральні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кільцеві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) і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розподільчі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другорядні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EF4D5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розподільчі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магістралей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035D62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Децентралізовані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з подачею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трубчастих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колодців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недалеко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222F7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 6.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донапірним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баком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плаваючим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насосом.</w:t>
      </w:r>
    </w:p>
    <w:p w14:paraId="2E83271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водозабірних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знаходитись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благосприятливих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недалеко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довкола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8089A7" w14:textId="79C3B0B6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 wp14:anchorId="4B868739" wp14:editId="41D7401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5057775" cy="5372100"/>
            <wp:effectExtent l="0" t="0" r="9525" b="0"/>
            <wp:wrapSquare wrapText="bothSides"/>
            <wp:docPr id="13" name="Рисунок 13" descr="Подпись:   Рис. 6. Система місцевого водопостачання з відкритим  напірним баком і плаваючим насосом 1 – плаваючий насос; 2 – водопровід; 3 – водонапірний бак; 4 – поплавкове реле рівня води; 5 – переливна труб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:   Рис. 6. Система місцевого водопостачання з відкритим  напірним баком і плаваючим насосом 1 – плаваючий насос; 2 – водопровід; 3 – водонапірний бак; 4 – поплавкове реле рівня води; 5 – переливна труба.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господарсько-питтєвого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2DD11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пояс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строгого режиму, яка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артсвердловин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м,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точок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водозабору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50 м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радіусом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100-200 м.</w:t>
      </w:r>
    </w:p>
    <w:p w14:paraId="56BC32B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межах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Зона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огороджується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озеленюється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Постороннім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вхід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заборонено.</w:t>
      </w:r>
    </w:p>
    <w:p w14:paraId="0CF21642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пояс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влаштовувати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звалище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нечистот,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прогін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випасання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худоби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кладовища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скотомогильники.</w:t>
      </w:r>
    </w:p>
    <w:p w14:paraId="3E4CA6E9" w14:textId="192AFF06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пояс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радіусом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300-500 м.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санітарно-епідеміологічними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службами.</w:t>
      </w:r>
    </w:p>
    <w:p w14:paraId="3D5FE9C1" w14:textId="77777777" w:rsidR="00B9403B" w:rsidRPr="00B9403B" w:rsidRDefault="00B9403B" w:rsidP="00B9403B">
      <w:pPr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Каналізація</w:t>
      </w:r>
      <w:proofErr w:type="spellEnd"/>
    </w:p>
    <w:p w14:paraId="23976F7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пунктах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повсякденною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господарсько-фекальні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основному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органічного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9B5C8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Залежно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побутові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виробничі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атмосферні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A3A7BE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санітарно-гігієнічного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обеззараженням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FBE88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комплекс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метою:</w:t>
      </w:r>
    </w:p>
    <w:p w14:paraId="612D460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E4D749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очистки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вод;</w:t>
      </w:r>
    </w:p>
    <w:p w14:paraId="0623C358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водах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осадах;</w:t>
      </w:r>
    </w:p>
    <w:p w14:paraId="2509C6C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CC3C0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вивозну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сплавну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8E5A58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вивозній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приймачі-вигреби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вивозять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асенізації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невигідна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пунктах, де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затруднена.</w:t>
      </w:r>
    </w:p>
    <w:p w14:paraId="4D2CA149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Сплавна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каналізація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вони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штучно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найближчі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344AA6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сумісно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загальносплавні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роздільні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) і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напівроздільні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20A6E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Загальносплавна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система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B0F67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роздільній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відводяться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мережами.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відводяться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стоки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водостічна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дощова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проміжною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стадією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водостічні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стікають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лотках, кюветах і канавах.</w:t>
      </w:r>
    </w:p>
    <w:p w14:paraId="4FED072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Напівроздільна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система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перетину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водоскидні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перепускають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мережу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відводять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зливи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скидають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394D98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систем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Протяжність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30-40%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62B0E9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тієї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санітарно-гігієнічних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техніко-економічного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9BBAD" w14:textId="682347FA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940BAC" wp14:editId="39360324">
            <wp:extent cx="5940425" cy="4702175"/>
            <wp:effectExtent l="0" t="0" r="3175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1BE4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14:paraId="34BE83B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0B57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і 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вод).</w:t>
      </w:r>
    </w:p>
    <w:p w14:paraId="60CF4F5B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432D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(КМ)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топографічному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лініями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вододілу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видолинках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перехоплення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траса головного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заселищного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з’єднуються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відрізок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мінімальну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довжину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E772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Різноманітність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так:</w:t>
      </w:r>
    </w:p>
    <w:p w14:paraId="1CEF183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Перпендикулярна схема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(рис. 9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води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очистки.</w:t>
      </w:r>
    </w:p>
    <w:p w14:paraId="1B80130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Пересічена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схема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(рис. 9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перпендикулярні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води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перехоплені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паралельний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вод.</w:t>
      </w:r>
    </w:p>
    <w:p w14:paraId="1B65C2D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Паралельна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схема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(рис. 9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води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невеликим кутом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перехоплені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вигідна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крутого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нахилом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б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спричинити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F1664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Зонна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поясна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схема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(рис. 9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розбита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верхньої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пливуть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самотічно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нижньої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зон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схему,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аналогічну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пересіченій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нерівномірному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падінні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всієї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нижньої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самоплинно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DDBBB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Радіальна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схема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(рис. 9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характерна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станціях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децентралізовано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складного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каналізуванні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136D46" w14:textId="1E56AE0C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3909330" wp14:editId="763D0787">
            <wp:extent cx="4816475" cy="1616075"/>
            <wp:effectExtent l="0" t="0" r="3175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3F630" w14:textId="7315EFF3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C6B59C6" wp14:editId="62B5CA12">
            <wp:extent cx="5177790" cy="1818005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6E86" w14:textId="2F9876F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 wp14:anchorId="04EDB060" wp14:editId="46C285E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2847975"/>
            <wp:effectExtent l="0" t="0" r="9525" b="952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9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</w:t>
      </w:r>
    </w:p>
    <w:p w14:paraId="0454D16A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– перпендикулярна; б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пересічена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в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паралельна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г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зонна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д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радіальна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4F294F7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1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колектори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басейнів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каналізування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2949B02F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межі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басейнів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3 – 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межа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об’єктів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каналізування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головний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колектор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8B67F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5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напірний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водопровід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6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випуск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027DDB31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7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головний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колектор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верхньої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зони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314E8AFE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головний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колектор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нижньої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зони</w:t>
      </w:r>
      <w:proofErr w:type="spellEnd"/>
    </w:p>
    <w:p w14:paraId="2D3701D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Санітарно-захисні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очистки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(тис. м</w:t>
      </w:r>
      <w:r w:rsidRPr="00B940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/добу) ширина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санітарно-захисної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до 500 м.</w:t>
      </w:r>
    </w:p>
    <w:p w14:paraId="2186425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F9D27" w14:textId="77777777" w:rsidR="00B9403B" w:rsidRPr="00B9403B" w:rsidRDefault="00B9403B" w:rsidP="00B9403B">
      <w:pPr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Теплопостачання</w:t>
      </w:r>
      <w:proofErr w:type="spellEnd"/>
      <w:r w:rsidRPr="00B9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газопостачання</w:t>
      </w:r>
      <w:proofErr w:type="spellEnd"/>
    </w:p>
    <w:p w14:paraId="06CC9A1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теплофікації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тепла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вентиляцію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гаряче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діючими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ТЕЦ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опалювальні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будуватися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газоподібне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високоякісне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ТЕЦ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газоочисними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пристроями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41262B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Опалювально-виробничі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поблизу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них.</w:t>
      </w:r>
    </w:p>
    <w:p w14:paraId="4862457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територією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мікрорайонів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відводяться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блок з гаражами,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пральнями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Опалювальні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твердому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під’їздами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завезення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вивезення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0EE9C5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ближче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центру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переважаючого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2B3615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обслуговуючих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C6A5DC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твердому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до 20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/год.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 до 1,2 га;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тепловиробництві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5-20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/год.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0,3-0,5 га, а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50-200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/год. – 0,8-1,5 га.</w:t>
      </w:r>
    </w:p>
    <w:p w14:paraId="63D5C7C7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Санітарно-захисна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5E1BD9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25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/год – 25 м;</w:t>
      </w:r>
    </w:p>
    <w:p w14:paraId="045F25A8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25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/год. – 100 м.</w:t>
      </w:r>
    </w:p>
    <w:p w14:paraId="51345EF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газоподібному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2D229E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25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/год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15 м;</w:t>
      </w:r>
    </w:p>
    <w:p w14:paraId="1B95FA4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/год.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Державного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AEC7A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правило,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землею, 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винятком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вічномерзлих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D9640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прокладку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колекторах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прохідних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каналах,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напівпровідних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каналах,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непрохідних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каналах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безканально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прокладка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підпідлогових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просторах і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підвалах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E9ED8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Повітряну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прокладку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гідрогеологічних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осідаючі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мерзлота),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перетині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боліт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т.д.</w:t>
      </w:r>
    </w:p>
    <w:p w14:paraId="1749B9B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магістральних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віддаленості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газу.</w:t>
      </w:r>
    </w:p>
    <w:p w14:paraId="0267913C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господарсько-побутові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діючими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3B4AC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Газгольдерні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рівномірного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10).</w:t>
      </w:r>
    </w:p>
    <w:tbl>
      <w:tblPr>
        <w:tblW w:w="12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0"/>
      </w:tblGrid>
      <w:tr w:rsidR="00B9403B" w:rsidRPr="00B9403B" w14:paraId="45C9DE62" w14:textId="77777777" w:rsidTr="00B940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39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90"/>
            </w:tblGrid>
            <w:tr w:rsidR="00B9403B" w:rsidRPr="00B9403B" w14:paraId="209FC6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B116BB" w14:textId="77777777" w:rsidR="00B9403B" w:rsidRPr="00B9403B" w:rsidRDefault="00B9403B" w:rsidP="00B9403B">
                  <w:pPr>
                    <w:spacing w:after="0" w:line="240" w:lineRule="auto"/>
                    <w:ind w:left="-567" w:firstLine="42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94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Газопровід</w:t>
                  </w:r>
                  <w:proofErr w:type="spellEnd"/>
                </w:p>
                <w:p w14:paraId="37C1CB44" w14:textId="77777777" w:rsidR="00B9403B" w:rsidRPr="00B9403B" w:rsidRDefault="00B9403B" w:rsidP="00B9403B">
                  <w:pPr>
                    <w:spacing w:after="0" w:line="240" w:lineRule="auto"/>
                    <w:ind w:left="-567" w:firstLine="42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94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високого</w:t>
                  </w:r>
                  <w:proofErr w:type="spellEnd"/>
                  <w:r w:rsidRPr="00B94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B94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тиску</w:t>
                  </w:r>
                  <w:proofErr w:type="spellEnd"/>
                </w:p>
              </w:tc>
            </w:tr>
          </w:tbl>
          <w:p w14:paraId="2C90B058" w14:textId="77777777" w:rsidR="00B9403B" w:rsidRPr="00B9403B" w:rsidRDefault="00B9403B" w:rsidP="00B9403B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653B34" w14:textId="75F8740D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0AD3EF" wp14:editId="3A33F2DA">
            <wp:extent cx="3710940" cy="2711450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D1F6C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10. Схема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газгольдерів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</w:p>
    <w:p w14:paraId="60CB2A8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1 –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сельбищна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територія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2 –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промислові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 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3 - 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газгольдери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D2A808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129116C8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0,005 МПа;</w:t>
      </w:r>
    </w:p>
    <w:p w14:paraId="6323AD6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0,005-0,3 МПа;</w:t>
      </w:r>
    </w:p>
    <w:p w14:paraId="6AC12655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–0,3-0,6 МПа;</w:t>
      </w:r>
    </w:p>
    <w:p w14:paraId="0EE86EC3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газгольдерним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0,6 до 1,2 МПа.</w:t>
      </w:r>
    </w:p>
    <w:p w14:paraId="05EDE73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проектуватися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триступінчата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двоступінчата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одного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одноступінчате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) (рис.11).</w:t>
      </w:r>
    </w:p>
    <w:p w14:paraId="12CAE6B2" w14:textId="7589737D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713663" wp14:editId="7823192B">
            <wp:extent cx="5940425" cy="949325"/>
            <wp:effectExtent l="0" t="0" r="3175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EE5E" w14:textId="246B1116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406782" wp14:editId="7145F8EA">
            <wp:extent cx="4072255" cy="1488440"/>
            <wp:effectExtent l="0" t="0" r="444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4C5C" w14:textId="77777777" w:rsidR="00B9403B" w:rsidRPr="00B9403B" w:rsidRDefault="00B9403B" w:rsidP="00B9403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11.Схема систем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  <w:proofErr w:type="spellEnd"/>
    </w:p>
    <w:p w14:paraId="670F58C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одноступінчата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б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двоступінчата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в – </w:t>
      </w:r>
      <w:proofErr w:type="spellStart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триступінчата</w:t>
      </w:r>
      <w:proofErr w:type="spellEnd"/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2CEF2E9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сполученні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газопроводами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пунктах (ГРП),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споруджуються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розподільних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пристроїв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монтуються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газу.</w:t>
      </w:r>
    </w:p>
    <w:p w14:paraId="6849BC3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Газорегуляторні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(ГРП)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будівлях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вогнетривких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Розриви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ГРП до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залежать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C5A50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0,6 МПа – 10 м;</w:t>
      </w:r>
    </w:p>
    <w:p w14:paraId="0C59CA3A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тиском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0,6 МПа – 15 м.</w:t>
      </w:r>
    </w:p>
    <w:p w14:paraId="6BAFD920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комунально-побутового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0,6 МПа)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газорегуляторні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металевих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шарах.</w:t>
      </w:r>
    </w:p>
    <w:p w14:paraId="54299A75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скрапленим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ємкістю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запасом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 50 тис. м</w:t>
      </w:r>
      <w:r w:rsidRPr="00B940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землею.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огороджується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під’їзди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твердим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покриттям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1761D4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Газороздаточні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балонів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скрапленим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металевих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прилаштованих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глухих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стін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10EE5D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Газороздаточні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основною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забудовою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підвітряної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переважаючого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газороздаточної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0,5-1,0 га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огорожа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вогнетривких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під’їзні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дороги.</w:t>
      </w:r>
    </w:p>
    <w:p w14:paraId="43953249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периметру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смуга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шириною 10 м. Над резервуарами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електропередач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телефону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B705D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ідуть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газорозподільчих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вулицях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проїздах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смузі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6700F7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перетині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газопроводами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ярів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перешкод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підводні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дюкери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надводні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переходи.</w:t>
      </w:r>
    </w:p>
    <w:p w14:paraId="679CB5A1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Підводні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ниток з пропускною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здатністю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0,75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розрахункових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газу.</w:t>
      </w:r>
    </w:p>
    <w:p w14:paraId="01F0E0A6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підводного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переходу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судохідних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ріках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знаки.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регуляторним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пунктом, 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відрізняючи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 і 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м.</w:t>
      </w:r>
    </w:p>
    <w:p w14:paraId="10E6E240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газопроводах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відрізняючих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компенсатора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оглядові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колодці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газу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заданому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газорегуляторні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пункту,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газорегуляторні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всередині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газифікованих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826F99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влаштування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підвальних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напівпідвальних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FFE97F" w14:textId="77777777" w:rsidR="00B9403B" w:rsidRPr="00B9403B" w:rsidRDefault="00B9403B" w:rsidP="00B940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Газопроводи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(0,6-1,2 МПа і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прокладаються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межами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пункту. При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прокладанні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траншеї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газопроводів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при </w:t>
      </w:r>
      <w:r w:rsidRPr="00B940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d=</w:t>
      </w:r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мм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витримують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м, а для труб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більшого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діаметру</w:t>
      </w:r>
      <w:proofErr w:type="spellEnd"/>
      <w:r w:rsidRPr="00B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0,5 м.</w:t>
      </w:r>
    </w:p>
    <w:p w14:paraId="78198AEB" w14:textId="77777777" w:rsidR="00B9403B" w:rsidRPr="00B9403B" w:rsidRDefault="00B9403B" w:rsidP="00B9403B">
      <w:pPr>
        <w:pStyle w:val="1"/>
        <w:spacing w:before="0" w:beforeAutospacing="0" w:after="0" w:afterAutospacing="0"/>
        <w:ind w:left="-567" w:firstLine="425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Електропостачання</w:t>
      </w:r>
      <w:proofErr w:type="spellEnd"/>
    </w:p>
    <w:p w14:paraId="06F3626B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Джерелами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енергопостачання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можуть</w:t>
      </w:r>
      <w:proofErr w:type="spellEnd"/>
      <w:r w:rsidRPr="00B9403B">
        <w:rPr>
          <w:sz w:val="28"/>
          <w:szCs w:val="28"/>
        </w:rPr>
        <w:t xml:space="preserve"> бути </w:t>
      </w:r>
      <w:proofErr w:type="spellStart"/>
      <w:r w:rsidRPr="00B9403B">
        <w:rPr>
          <w:sz w:val="28"/>
          <w:szCs w:val="28"/>
        </w:rPr>
        <w:t>районні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енергетичні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системи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або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окремі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електростанції</w:t>
      </w:r>
      <w:proofErr w:type="spellEnd"/>
      <w:r w:rsidRPr="00B9403B">
        <w:rPr>
          <w:sz w:val="28"/>
          <w:szCs w:val="28"/>
        </w:rPr>
        <w:t>.</w:t>
      </w:r>
    </w:p>
    <w:p w14:paraId="42135EE4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Облік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споживання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електроенергії</w:t>
      </w:r>
      <w:proofErr w:type="spellEnd"/>
      <w:r w:rsidRPr="00B9403B">
        <w:rPr>
          <w:sz w:val="28"/>
          <w:szCs w:val="28"/>
        </w:rPr>
        <w:t xml:space="preserve"> для </w:t>
      </w:r>
      <w:proofErr w:type="spellStart"/>
      <w:r w:rsidRPr="00B9403B">
        <w:rPr>
          <w:sz w:val="28"/>
          <w:szCs w:val="28"/>
        </w:rPr>
        <w:t>господарсько-побутових</w:t>
      </w:r>
      <w:proofErr w:type="spellEnd"/>
      <w:r w:rsidRPr="00B9403B">
        <w:rPr>
          <w:sz w:val="28"/>
          <w:szCs w:val="28"/>
        </w:rPr>
        <w:t xml:space="preserve"> і </w:t>
      </w:r>
      <w:proofErr w:type="spellStart"/>
      <w:r w:rsidRPr="00B9403B">
        <w:rPr>
          <w:sz w:val="28"/>
          <w:szCs w:val="28"/>
        </w:rPr>
        <w:t>комунальних</w:t>
      </w:r>
      <w:proofErr w:type="spellEnd"/>
      <w:r w:rsidRPr="00B9403B">
        <w:rPr>
          <w:sz w:val="28"/>
          <w:szCs w:val="28"/>
        </w:rPr>
        <w:t xml:space="preserve"> потреб </w:t>
      </w:r>
      <w:proofErr w:type="spellStart"/>
      <w:r w:rsidRPr="00B9403B">
        <w:rPr>
          <w:sz w:val="28"/>
          <w:szCs w:val="28"/>
        </w:rPr>
        <w:t>визначається</w:t>
      </w:r>
      <w:proofErr w:type="spellEnd"/>
      <w:r w:rsidRPr="00B9403B">
        <w:rPr>
          <w:sz w:val="28"/>
          <w:szCs w:val="28"/>
        </w:rPr>
        <w:t xml:space="preserve"> за </w:t>
      </w:r>
      <w:proofErr w:type="spellStart"/>
      <w:r w:rsidRPr="00B9403B">
        <w:rPr>
          <w:sz w:val="28"/>
          <w:szCs w:val="28"/>
        </w:rPr>
        <w:t>укрупненими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показниками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залежно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від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розмірів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міста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клімату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гарячого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водопостачання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опалювання</w:t>
      </w:r>
      <w:proofErr w:type="spellEnd"/>
      <w:r w:rsidRPr="00B9403B">
        <w:rPr>
          <w:sz w:val="28"/>
          <w:szCs w:val="28"/>
        </w:rPr>
        <w:t xml:space="preserve"> і т.д. </w:t>
      </w:r>
      <w:proofErr w:type="spellStart"/>
      <w:r w:rsidRPr="00B9403B">
        <w:rPr>
          <w:sz w:val="28"/>
          <w:szCs w:val="28"/>
        </w:rPr>
        <w:t>Сумарна</w:t>
      </w:r>
      <w:proofErr w:type="spellEnd"/>
      <w:r w:rsidRPr="00B9403B">
        <w:rPr>
          <w:sz w:val="28"/>
          <w:szCs w:val="28"/>
        </w:rPr>
        <w:t xml:space="preserve"> величина </w:t>
      </w:r>
      <w:proofErr w:type="spellStart"/>
      <w:r w:rsidRPr="00B9403B">
        <w:rPr>
          <w:sz w:val="28"/>
          <w:szCs w:val="28"/>
        </w:rPr>
        <w:t>споживання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електроенергії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наприклад</w:t>
      </w:r>
      <w:proofErr w:type="spellEnd"/>
      <w:r w:rsidRPr="00B9403B">
        <w:rPr>
          <w:sz w:val="28"/>
          <w:szCs w:val="28"/>
        </w:rPr>
        <w:t xml:space="preserve">, для </w:t>
      </w:r>
      <w:proofErr w:type="spellStart"/>
      <w:r w:rsidRPr="00B9403B">
        <w:rPr>
          <w:sz w:val="28"/>
          <w:szCs w:val="28"/>
        </w:rPr>
        <w:t>одної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людини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складає</w:t>
      </w:r>
      <w:proofErr w:type="spellEnd"/>
      <w:r w:rsidRPr="00B9403B">
        <w:rPr>
          <w:sz w:val="28"/>
          <w:szCs w:val="28"/>
        </w:rPr>
        <w:t xml:space="preserve"> до 2000 квт- г/</w:t>
      </w:r>
      <w:proofErr w:type="spellStart"/>
      <w:r w:rsidRPr="00B9403B">
        <w:rPr>
          <w:sz w:val="28"/>
          <w:szCs w:val="28"/>
        </w:rPr>
        <w:t>рік</w:t>
      </w:r>
      <w:proofErr w:type="spellEnd"/>
      <w:r w:rsidRPr="00B9403B">
        <w:rPr>
          <w:sz w:val="28"/>
          <w:szCs w:val="28"/>
        </w:rPr>
        <w:t>.</w:t>
      </w:r>
    </w:p>
    <w:p w14:paraId="7C2C1742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Споживання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енергії</w:t>
      </w:r>
      <w:proofErr w:type="spellEnd"/>
      <w:r w:rsidRPr="00B9403B">
        <w:rPr>
          <w:sz w:val="28"/>
          <w:szCs w:val="28"/>
        </w:rPr>
        <w:t xml:space="preserve"> для </w:t>
      </w:r>
      <w:proofErr w:type="spellStart"/>
      <w:r w:rsidRPr="00B9403B">
        <w:rPr>
          <w:sz w:val="28"/>
          <w:szCs w:val="28"/>
        </w:rPr>
        <w:t>промисловості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зовнішнього</w:t>
      </w:r>
      <w:proofErr w:type="spellEnd"/>
      <w:r w:rsidRPr="00B9403B">
        <w:rPr>
          <w:sz w:val="28"/>
          <w:szCs w:val="28"/>
        </w:rPr>
        <w:t xml:space="preserve"> транспорту </w:t>
      </w:r>
      <w:proofErr w:type="spellStart"/>
      <w:r w:rsidRPr="00B9403B">
        <w:rPr>
          <w:sz w:val="28"/>
          <w:szCs w:val="28"/>
        </w:rPr>
        <w:t>тощо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визначається</w:t>
      </w:r>
      <w:proofErr w:type="spellEnd"/>
      <w:r w:rsidRPr="00B9403B">
        <w:rPr>
          <w:sz w:val="28"/>
          <w:szCs w:val="28"/>
        </w:rPr>
        <w:t xml:space="preserve"> за </w:t>
      </w:r>
      <w:proofErr w:type="spellStart"/>
      <w:r w:rsidRPr="00B9403B">
        <w:rPr>
          <w:sz w:val="28"/>
          <w:szCs w:val="28"/>
        </w:rPr>
        <w:t>укрупненими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показниками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або</w:t>
      </w:r>
      <w:proofErr w:type="spellEnd"/>
      <w:r w:rsidRPr="00B9403B">
        <w:rPr>
          <w:sz w:val="28"/>
          <w:szCs w:val="28"/>
        </w:rPr>
        <w:t xml:space="preserve"> на </w:t>
      </w:r>
      <w:proofErr w:type="spellStart"/>
      <w:r w:rsidRPr="00B9403B">
        <w:rPr>
          <w:sz w:val="28"/>
          <w:szCs w:val="28"/>
        </w:rPr>
        <w:t>основі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вказаної</w:t>
      </w:r>
      <w:proofErr w:type="spellEnd"/>
      <w:r w:rsidRPr="00B9403B">
        <w:rPr>
          <w:sz w:val="28"/>
          <w:szCs w:val="28"/>
        </w:rPr>
        <w:t xml:space="preserve"> потреби </w:t>
      </w:r>
      <w:proofErr w:type="spellStart"/>
      <w:r w:rsidRPr="00B9403B">
        <w:rPr>
          <w:sz w:val="28"/>
          <w:szCs w:val="28"/>
        </w:rPr>
        <w:t>діючих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підприємств</w:t>
      </w:r>
      <w:proofErr w:type="spellEnd"/>
      <w:r w:rsidRPr="00B9403B">
        <w:rPr>
          <w:sz w:val="28"/>
          <w:szCs w:val="28"/>
        </w:rPr>
        <w:t xml:space="preserve">, а </w:t>
      </w:r>
      <w:proofErr w:type="spellStart"/>
      <w:r w:rsidRPr="00B9403B">
        <w:rPr>
          <w:sz w:val="28"/>
          <w:szCs w:val="28"/>
        </w:rPr>
        <w:t>також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проектів</w:t>
      </w:r>
      <w:proofErr w:type="spellEnd"/>
      <w:r w:rsidRPr="00B9403B">
        <w:rPr>
          <w:sz w:val="28"/>
          <w:szCs w:val="28"/>
        </w:rPr>
        <w:t xml:space="preserve"> нового </w:t>
      </w:r>
      <w:proofErr w:type="spellStart"/>
      <w:r w:rsidRPr="00B9403B">
        <w:rPr>
          <w:sz w:val="28"/>
          <w:szCs w:val="28"/>
        </w:rPr>
        <w:t>будівництва</w:t>
      </w:r>
      <w:proofErr w:type="spellEnd"/>
      <w:r w:rsidRPr="00B9403B">
        <w:rPr>
          <w:sz w:val="28"/>
          <w:szCs w:val="28"/>
        </w:rPr>
        <w:t>.</w:t>
      </w:r>
    </w:p>
    <w:p w14:paraId="4285354A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B9403B">
        <w:rPr>
          <w:sz w:val="28"/>
          <w:szCs w:val="28"/>
        </w:rPr>
        <w:t xml:space="preserve">З метою </w:t>
      </w:r>
      <w:proofErr w:type="spellStart"/>
      <w:r w:rsidRPr="00B9403B">
        <w:rPr>
          <w:sz w:val="28"/>
          <w:szCs w:val="28"/>
        </w:rPr>
        <w:t>охорони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навколишнього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середовища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теплові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електростанції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розташовані</w:t>
      </w:r>
      <w:proofErr w:type="spellEnd"/>
      <w:r w:rsidRPr="00B9403B">
        <w:rPr>
          <w:sz w:val="28"/>
          <w:szCs w:val="28"/>
        </w:rPr>
        <w:t xml:space="preserve"> в межах </w:t>
      </w:r>
      <w:proofErr w:type="spellStart"/>
      <w:r w:rsidRPr="00B9403B">
        <w:rPr>
          <w:sz w:val="28"/>
          <w:szCs w:val="28"/>
        </w:rPr>
        <w:t>території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міста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повинні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використовувати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переважно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газоподібне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або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високоякісне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рідке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чи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тверде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паливо</w:t>
      </w:r>
      <w:proofErr w:type="spellEnd"/>
      <w:r w:rsidRPr="00B9403B">
        <w:rPr>
          <w:sz w:val="28"/>
          <w:szCs w:val="28"/>
        </w:rPr>
        <w:t xml:space="preserve">. </w:t>
      </w:r>
      <w:proofErr w:type="spellStart"/>
      <w:r w:rsidRPr="00B9403B">
        <w:rPr>
          <w:sz w:val="28"/>
          <w:szCs w:val="28"/>
        </w:rPr>
        <w:t>Теплові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електростанції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розміщаються</w:t>
      </w:r>
      <w:proofErr w:type="spellEnd"/>
      <w:r w:rsidRPr="00B9403B">
        <w:rPr>
          <w:sz w:val="28"/>
          <w:szCs w:val="28"/>
        </w:rPr>
        <w:t xml:space="preserve">, як правило, за межами </w:t>
      </w:r>
      <w:proofErr w:type="spellStart"/>
      <w:r w:rsidRPr="00B9403B">
        <w:rPr>
          <w:sz w:val="28"/>
          <w:szCs w:val="28"/>
        </w:rPr>
        <w:t>сельбищної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території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міста</w:t>
      </w:r>
      <w:proofErr w:type="spellEnd"/>
      <w:r w:rsidRPr="00B9403B">
        <w:rPr>
          <w:sz w:val="28"/>
          <w:szCs w:val="28"/>
        </w:rPr>
        <w:t xml:space="preserve"> (села), в </w:t>
      </w:r>
      <w:proofErr w:type="spellStart"/>
      <w:r w:rsidRPr="00B9403B">
        <w:rPr>
          <w:sz w:val="28"/>
          <w:szCs w:val="28"/>
        </w:rPr>
        <w:t>промислових</w:t>
      </w:r>
      <w:proofErr w:type="spellEnd"/>
      <w:r w:rsidRPr="00B9403B">
        <w:rPr>
          <w:sz w:val="28"/>
          <w:szCs w:val="28"/>
        </w:rPr>
        <w:t xml:space="preserve"> районах і в основному в </w:t>
      </w:r>
      <w:proofErr w:type="spellStart"/>
      <w:r w:rsidRPr="00B9403B">
        <w:rPr>
          <w:sz w:val="28"/>
          <w:szCs w:val="28"/>
        </w:rPr>
        <w:t>центрі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теплових</w:t>
      </w:r>
      <w:proofErr w:type="spellEnd"/>
      <w:r w:rsidRPr="00B9403B">
        <w:rPr>
          <w:sz w:val="28"/>
          <w:szCs w:val="28"/>
        </w:rPr>
        <w:t xml:space="preserve"> і </w:t>
      </w:r>
      <w:proofErr w:type="spellStart"/>
      <w:r w:rsidRPr="00B9403B">
        <w:rPr>
          <w:sz w:val="28"/>
          <w:szCs w:val="28"/>
        </w:rPr>
        <w:t>енергетичних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навантажень</w:t>
      </w:r>
      <w:proofErr w:type="spellEnd"/>
      <w:r w:rsidRPr="00B9403B">
        <w:rPr>
          <w:sz w:val="28"/>
          <w:szCs w:val="28"/>
        </w:rPr>
        <w:t xml:space="preserve">. </w:t>
      </w:r>
      <w:proofErr w:type="spellStart"/>
      <w:r w:rsidRPr="00B9403B">
        <w:rPr>
          <w:sz w:val="28"/>
          <w:szCs w:val="28"/>
        </w:rPr>
        <w:t>Електростанції</w:t>
      </w:r>
      <w:proofErr w:type="spellEnd"/>
      <w:r w:rsidRPr="00B9403B">
        <w:rPr>
          <w:sz w:val="28"/>
          <w:szCs w:val="28"/>
        </w:rPr>
        <w:t xml:space="preserve"> з прямоточною системою </w:t>
      </w:r>
      <w:proofErr w:type="spellStart"/>
      <w:r w:rsidRPr="00B9403B">
        <w:rPr>
          <w:sz w:val="28"/>
          <w:szCs w:val="28"/>
        </w:rPr>
        <w:t>водопостачання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або</w:t>
      </w:r>
      <w:proofErr w:type="spellEnd"/>
      <w:r w:rsidRPr="00B9403B">
        <w:rPr>
          <w:sz w:val="28"/>
          <w:szCs w:val="28"/>
        </w:rPr>
        <w:t xml:space="preserve"> з </w:t>
      </w:r>
      <w:proofErr w:type="spellStart"/>
      <w:r w:rsidRPr="00B9403B">
        <w:rPr>
          <w:sz w:val="28"/>
          <w:szCs w:val="28"/>
        </w:rPr>
        <w:t>повторним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використанням</w:t>
      </w:r>
      <w:proofErr w:type="spellEnd"/>
      <w:r w:rsidRPr="00B9403B">
        <w:rPr>
          <w:sz w:val="28"/>
          <w:szCs w:val="28"/>
        </w:rPr>
        <w:t xml:space="preserve"> води, </w:t>
      </w:r>
      <w:proofErr w:type="spellStart"/>
      <w:r w:rsidRPr="00B9403B">
        <w:rPr>
          <w:sz w:val="28"/>
          <w:szCs w:val="28"/>
        </w:rPr>
        <w:t>які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використовують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водоймища</w:t>
      </w:r>
      <w:proofErr w:type="spellEnd"/>
      <w:r w:rsidRPr="00B9403B">
        <w:rPr>
          <w:sz w:val="28"/>
          <w:szCs w:val="28"/>
        </w:rPr>
        <w:t xml:space="preserve"> для </w:t>
      </w:r>
      <w:proofErr w:type="spellStart"/>
      <w:r w:rsidRPr="00B9403B">
        <w:rPr>
          <w:sz w:val="28"/>
          <w:szCs w:val="28"/>
        </w:rPr>
        <w:t>охолодження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розміщаються</w:t>
      </w:r>
      <w:proofErr w:type="spellEnd"/>
      <w:r w:rsidRPr="00B9403B">
        <w:rPr>
          <w:sz w:val="28"/>
          <w:szCs w:val="28"/>
        </w:rPr>
        <w:t xml:space="preserve"> на при </w:t>
      </w:r>
      <w:proofErr w:type="spellStart"/>
      <w:r w:rsidRPr="00B9403B">
        <w:rPr>
          <w:sz w:val="28"/>
          <w:szCs w:val="28"/>
        </w:rPr>
        <w:t>берегових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територіях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водойм</w:t>
      </w:r>
      <w:proofErr w:type="spellEnd"/>
      <w:r w:rsidRPr="00B9403B">
        <w:rPr>
          <w:sz w:val="28"/>
          <w:szCs w:val="28"/>
        </w:rPr>
        <w:t>.</w:t>
      </w:r>
    </w:p>
    <w:p w14:paraId="0B5A2A88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lastRenderedPageBreak/>
        <w:t>Територія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електростанції</w:t>
      </w:r>
      <w:proofErr w:type="spellEnd"/>
      <w:r w:rsidRPr="00B9403B">
        <w:rPr>
          <w:sz w:val="28"/>
          <w:szCs w:val="28"/>
        </w:rPr>
        <w:t xml:space="preserve"> повинна </w:t>
      </w:r>
      <w:proofErr w:type="spellStart"/>
      <w:r w:rsidRPr="00B9403B">
        <w:rPr>
          <w:sz w:val="28"/>
          <w:szCs w:val="28"/>
        </w:rPr>
        <w:t>мати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добрий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зв’язок</w:t>
      </w:r>
      <w:proofErr w:type="spellEnd"/>
      <w:r w:rsidRPr="00B9403B">
        <w:rPr>
          <w:sz w:val="28"/>
          <w:szCs w:val="28"/>
        </w:rPr>
        <w:t xml:space="preserve"> з </w:t>
      </w:r>
      <w:proofErr w:type="spellStart"/>
      <w:r w:rsidRPr="00B9403B">
        <w:rPr>
          <w:sz w:val="28"/>
          <w:szCs w:val="28"/>
        </w:rPr>
        <w:t>транспортними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комунікаціями</w:t>
      </w:r>
      <w:proofErr w:type="spellEnd"/>
      <w:r w:rsidRPr="00B9403B">
        <w:rPr>
          <w:sz w:val="28"/>
          <w:szCs w:val="28"/>
        </w:rPr>
        <w:t xml:space="preserve"> і </w:t>
      </w:r>
      <w:proofErr w:type="spellStart"/>
      <w:r w:rsidRPr="00B9403B">
        <w:rPr>
          <w:sz w:val="28"/>
          <w:szCs w:val="28"/>
        </w:rPr>
        <w:t>вуличною</w:t>
      </w:r>
      <w:proofErr w:type="spellEnd"/>
      <w:r w:rsidRPr="00B9403B">
        <w:rPr>
          <w:sz w:val="28"/>
          <w:szCs w:val="28"/>
        </w:rPr>
        <w:t xml:space="preserve"> мережею </w:t>
      </w:r>
      <w:proofErr w:type="spellStart"/>
      <w:r w:rsidRPr="00B9403B">
        <w:rPr>
          <w:sz w:val="28"/>
          <w:szCs w:val="28"/>
        </w:rPr>
        <w:t>населених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пунктів</w:t>
      </w:r>
      <w:proofErr w:type="spellEnd"/>
      <w:r w:rsidRPr="00B9403B">
        <w:rPr>
          <w:sz w:val="28"/>
          <w:szCs w:val="28"/>
        </w:rPr>
        <w:t xml:space="preserve">. </w:t>
      </w:r>
      <w:proofErr w:type="spellStart"/>
      <w:r w:rsidRPr="00B9403B">
        <w:rPr>
          <w:sz w:val="28"/>
          <w:szCs w:val="28"/>
        </w:rPr>
        <w:t>Відносно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сельбищної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зони</w:t>
      </w:r>
      <w:proofErr w:type="spellEnd"/>
      <w:r w:rsidRPr="00B9403B">
        <w:rPr>
          <w:sz w:val="28"/>
          <w:szCs w:val="28"/>
        </w:rPr>
        <w:t xml:space="preserve"> вона </w:t>
      </w:r>
      <w:proofErr w:type="spellStart"/>
      <w:r w:rsidRPr="00B9403B">
        <w:rPr>
          <w:sz w:val="28"/>
          <w:szCs w:val="28"/>
        </w:rPr>
        <w:t>розміщається</w:t>
      </w:r>
      <w:proofErr w:type="spellEnd"/>
      <w:r w:rsidRPr="00B9403B">
        <w:rPr>
          <w:sz w:val="28"/>
          <w:szCs w:val="28"/>
        </w:rPr>
        <w:t xml:space="preserve"> з </w:t>
      </w:r>
      <w:proofErr w:type="spellStart"/>
      <w:r w:rsidRPr="00B9403B">
        <w:rPr>
          <w:sz w:val="28"/>
          <w:szCs w:val="28"/>
        </w:rPr>
        <w:t>підвітреної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сторони</w:t>
      </w:r>
      <w:proofErr w:type="spellEnd"/>
      <w:r w:rsidRPr="00B9403B">
        <w:rPr>
          <w:sz w:val="28"/>
          <w:szCs w:val="28"/>
        </w:rPr>
        <w:t xml:space="preserve"> і </w:t>
      </w:r>
      <w:proofErr w:type="spellStart"/>
      <w:r w:rsidRPr="00B9403B">
        <w:rPr>
          <w:sz w:val="28"/>
          <w:szCs w:val="28"/>
        </w:rPr>
        <w:t>відділяється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санітарно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захисними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смугами</w:t>
      </w:r>
      <w:proofErr w:type="spellEnd"/>
      <w:r w:rsidRPr="00B9403B">
        <w:rPr>
          <w:sz w:val="28"/>
          <w:szCs w:val="28"/>
        </w:rPr>
        <w:t xml:space="preserve">. Ширина </w:t>
      </w:r>
      <w:proofErr w:type="spellStart"/>
      <w:r w:rsidRPr="00B9403B">
        <w:rPr>
          <w:sz w:val="28"/>
          <w:szCs w:val="28"/>
        </w:rPr>
        <w:t>смуги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між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котельнею</w:t>
      </w:r>
      <w:proofErr w:type="spellEnd"/>
      <w:r w:rsidRPr="00B9403B">
        <w:rPr>
          <w:sz w:val="28"/>
          <w:szCs w:val="28"/>
        </w:rPr>
        <w:t xml:space="preserve"> і </w:t>
      </w:r>
      <w:proofErr w:type="spellStart"/>
      <w:r w:rsidRPr="00B9403B">
        <w:rPr>
          <w:sz w:val="28"/>
          <w:szCs w:val="28"/>
        </w:rPr>
        <w:t>межею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житлової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забудови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встановлюється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відповідно</w:t>
      </w:r>
      <w:proofErr w:type="spellEnd"/>
      <w:r w:rsidRPr="00B9403B">
        <w:rPr>
          <w:sz w:val="28"/>
          <w:szCs w:val="28"/>
        </w:rPr>
        <w:t xml:space="preserve"> до </w:t>
      </w:r>
      <w:proofErr w:type="spellStart"/>
      <w:r w:rsidRPr="00B9403B">
        <w:rPr>
          <w:sz w:val="28"/>
          <w:szCs w:val="28"/>
        </w:rPr>
        <w:t>перспективної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потужності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електростанції</w:t>
      </w:r>
      <w:proofErr w:type="spellEnd"/>
      <w:r w:rsidRPr="00B9403B">
        <w:rPr>
          <w:sz w:val="28"/>
          <w:szCs w:val="28"/>
        </w:rPr>
        <w:t>.</w:t>
      </w:r>
    </w:p>
    <w:p w14:paraId="1D1E644C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Площа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земельних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ділянок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теплових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електростанцій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також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залежить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від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потужності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електростанції</w:t>
      </w:r>
      <w:proofErr w:type="spellEnd"/>
      <w:r w:rsidRPr="00B9403B">
        <w:rPr>
          <w:sz w:val="28"/>
          <w:szCs w:val="28"/>
        </w:rPr>
        <w:t xml:space="preserve"> у тис. кВт. </w:t>
      </w:r>
      <w:proofErr w:type="spellStart"/>
      <w:r w:rsidRPr="00B9403B">
        <w:rPr>
          <w:sz w:val="28"/>
          <w:szCs w:val="28"/>
        </w:rPr>
        <w:t>Наприклад</w:t>
      </w:r>
      <w:proofErr w:type="spellEnd"/>
      <w:r w:rsidRPr="00B9403B">
        <w:rPr>
          <w:sz w:val="28"/>
          <w:szCs w:val="28"/>
        </w:rPr>
        <w:t xml:space="preserve">, при </w:t>
      </w:r>
      <w:proofErr w:type="spellStart"/>
      <w:r w:rsidRPr="00B9403B">
        <w:rPr>
          <w:sz w:val="28"/>
          <w:szCs w:val="28"/>
        </w:rPr>
        <w:t>потужності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станції</w:t>
      </w:r>
      <w:proofErr w:type="spellEnd"/>
      <w:r w:rsidRPr="00B9403B">
        <w:rPr>
          <w:sz w:val="28"/>
          <w:szCs w:val="28"/>
        </w:rPr>
        <w:t xml:space="preserve"> на твердому </w:t>
      </w:r>
      <w:proofErr w:type="spellStart"/>
      <w:r w:rsidRPr="00B9403B">
        <w:rPr>
          <w:sz w:val="28"/>
          <w:szCs w:val="28"/>
        </w:rPr>
        <w:t>паливі</w:t>
      </w:r>
      <w:proofErr w:type="spellEnd"/>
      <w:r w:rsidRPr="00B9403B">
        <w:rPr>
          <w:sz w:val="28"/>
          <w:szCs w:val="28"/>
        </w:rPr>
        <w:t xml:space="preserve"> 12 тис. кВт </w:t>
      </w:r>
      <w:proofErr w:type="spellStart"/>
      <w:r w:rsidRPr="00B9403B">
        <w:rPr>
          <w:sz w:val="28"/>
          <w:szCs w:val="28"/>
        </w:rPr>
        <w:t>розмір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земельної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ділянки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прийнято</w:t>
      </w:r>
      <w:proofErr w:type="spellEnd"/>
      <w:r w:rsidRPr="00B9403B">
        <w:rPr>
          <w:sz w:val="28"/>
          <w:szCs w:val="28"/>
        </w:rPr>
        <w:t xml:space="preserve"> 12 га, а </w:t>
      </w:r>
      <w:proofErr w:type="spellStart"/>
      <w:r w:rsidRPr="00B9403B">
        <w:rPr>
          <w:sz w:val="28"/>
          <w:szCs w:val="28"/>
        </w:rPr>
        <w:t>газоподібному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наливі</w:t>
      </w:r>
      <w:proofErr w:type="spellEnd"/>
      <w:r w:rsidRPr="00B9403B">
        <w:rPr>
          <w:sz w:val="28"/>
          <w:szCs w:val="28"/>
        </w:rPr>
        <w:t xml:space="preserve"> – 3-4 га. При </w:t>
      </w:r>
      <w:proofErr w:type="spellStart"/>
      <w:r w:rsidRPr="00B9403B">
        <w:rPr>
          <w:sz w:val="28"/>
          <w:szCs w:val="28"/>
        </w:rPr>
        <w:t>потужності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станції</w:t>
      </w:r>
      <w:proofErr w:type="spellEnd"/>
      <w:r w:rsidRPr="00B9403B">
        <w:rPr>
          <w:sz w:val="28"/>
          <w:szCs w:val="28"/>
        </w:rPr>
        <w:t xml:space="preserve"> 200 тис. кВт </w:t>
      </w:r>
      <w:proofErr w:type="spellStart"/>
      <w:r w:rsidRPr="00B9403B">
        <w:rPr>
          <w:sz w:val="28"/>
          <w:szCs w:val="28"/>
        </w:rPr>
        <w:t>площа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ділянок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складає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відповідно</w:t>
      </w:r>
      <w:proofErr w:type="spellEnd"/>
      <w:r w:rsidRPr="00B9403B">
        <w:rPr>
          <w:sz w:val="28"/>
          <w:szCs w:val="28"/>
        </w:rPr>
        <w:t xml:space="preserve"> 30 га і 12-15 га.</w:t>
      </w:r>
    </w:p>
    <w:p w14:paraId="31FA76A0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Трансформаторні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пункти</w:t>
      </w:r>
      <w:proofErr w:type="spellEnd"/>
      <w:r w:rsidRPr="00B9403B">
        <w:rPr>
          <w:sz w:val="28"/>
          <w:szCs w:val="28"/>
        </w:rPr>
        <w:t xml:space="preserve"> (ТП) </w:t>
      </w:r>
      <w:proofErr w:type="spellStart"/>
      <w:r w:rsidRPr="00B9403B">
        <w:rPr>
          <w:sz w:val="28"/>
          <w:szCs w:val="28"/>
        </w:rPr>
        <w:t>рекомендується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розміщати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окремо</w:t>
      </w:r>
      <w:proofErr w:type="spellEnd"/>
      <w:r w:rsidRPr="00B9403B">
        <w:rPr>
          <w:sz w:val="28"/>
          <w:szCs w:val="28"/>
        </w:rPr>
        <w:t xml:space="preserve"> з </w:t>
      </w:r>
      <w:proofErr w:type="spellStart"/>
      <w:r w:rsidRPr="00B9403B">
        <w:rPr>
          <w:sz w:val="28"/>
          <w:szCs w:val="28"/>
        </w:rPr>
        <w:t>врахуванням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протипожежних</w:t>
      </w:r>
      <w:proofErr w:type="spellEnd"/>
      <w:r w:rsidRPr="00B9403B">
        <w:rPr>
          <w:sz w:val="28"/>
          <w:szCs w:val="28"/>
        </w:rPr>
        <w:t xml:space="preserve"> норм.</w:t>
      </w:r>
    </w:p>
    <w:p w14:paraId="70A5A8BF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Понижуючі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підстанції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розміщаються</w:t>
      </w:r>
      <w:proofErr w:type="spellEnd"/>
      <w:r w:rsidRPr="00B9403B">
        <w:rPr>
          <w:sz w:val="28"/>
          <w:szCs w:val="28"/>
        </w:rPr>
        <w:t xml:space="preserve"> в </w:t>
      </w:r>
      <w:proofErr w:type="spellStart"/>
      <w:r w:rsidRPr="00B9403B">
        <w:rPr>
          <w:sz w:val="28"/>
          <w:szCs w:val="28"/>
        </w:rPr>
        <w:t>житлових</w:t>
      </w:r>
      <w:proofErr w:type="spellEnd"/>
      <w:r w:rsidRPr="00B9403B">
        <w:rPr>
          <w:sz w:val="28"/>
          <w:szCs w:val="28"/>
        </w:rPr>
        <w:t xml:space="preserve"> районах при </w:t>
      </w:r>
      <w:proofErr w:type="spellStart"/>
      <w:r w:rsidRPr="00B9403B">
        <w:rPr>
          <w:sz w:val="28"/>
          <w:szCs w:val="28"/>
        </w:rPr>
        <w:t>глибоких</w:t>
      </w:r>
      <w:proofErr w:type="spellEnd"/>
      <w:r w:rsidRPr="00B9403B">
        <w:rPr>
          <w:sz w:val="28"/>
          <w:szCs w:val="28"/>
        </w:rPr>
        <w:t xml:space="preserve"> вводах, </w:t>
      </w:r>
      <w:proofErr w:type="spellStart"/>
      <w:r w:rsidRPr="00B9403B">
        <w:rPr>
          <w:sz w:val="28"/>
          <w:szCs w:val="28"/>
        </w:rPr>
        <w:t>або</w:t>
      </w:r>
      <w:proofErr w:type="spellEnd"/>
      <w:r w:rsidRPr="00B9403B">
        <w:rPr>
          <w:sz w:val="28"/>
          <w:szCs w:val="28"/>
        </w:rPr>
        <w:t xml:space="preserve"> поза </w:t>
      </w:r>
      <w:proofErr w:type="spellStart"/>
      <w:r w:rsidRPr="00B9403B">
        <w:rPr>
          <w:sz w:val="28"/>
          <w:szCs w:val="28"/>
        </w:rPr>
        <w:t>їх</w:t>
      </w:r>
      <w:proofErr w:type="spellEnd"/>
      <w:r w:rsidRPr="00B9403B">
        <w:rPr>
          <w:sz w:val="28"/>
          <w:szCs w:val="28"/>
        </w:rPr>
        <w:t xml:space="preserve"> межами.</w:t>
      </w:r>
    </w:p>
    <w:p w14:paraId="1E479250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Спорудження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міських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електричних</w:t>
      </w:r>
      <w:proofErr w:type="spellEnd"/>
      <w:r w:rsidRPr="00B9403B">
        <w:rPr>
          <w:sz w:val="28"/>
          <w:szCs w:val="28"/>
        </w:rPr>
        <w:t xml:space="preserve"> мереж </w:t>
      </w:r>
      <w:proofErr w:type="spellStart"/>
      <w:r w:rsidRPr="00B9403B">
        <w:rPr>
          <w:sz w:val="28"/>
          <w:szCs w:val="28"/>
        </w:rPr>
        <w:t>низької</w:t>
      </w:r>
      <w:proofErr w:type="spellEnd"/>
      <w:r w:rsidRPr="00B9403B">
        <w:rPr>
          <w:sz w:val="28"/>
          <w:szCs w:val="28"/>
        </w:rPr>
        <w:t xml:space="preserve"> і </w:t>
      </w:r>
      <w:proofErr w:type="spellStart"/>
      <w:r w:rsidRPr="00B9403B">
        <w:rPr>
          <w:sz w:val="28"/>
          <w:szCs w:val="28"/>
        </w:rPr>
        <w:t>високої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напруги</w:t>
      </w:r>
      <w:proofErr w:type="spellEnd"/>
      <w:r w:rsidRPr="00B9403B">
        <w:rPr>
          <w:sz w:val="28"/>
          <w:szCs w:val="28"/>
        </w:rPr>
        <w:t xml:space="preserve"> в </w:t>
      </w:r>
      <w:proofErr w:type="spellStart"/>
      <w:r w:rsidRPr="00B9403B">
        <w:rPr>
          <w:sz w:val="28"/>
          <w:szCs w:val="28"/>
        </w:rPr>
        <w:t>житлових</w:t>
      </w:r>
      <w:proofErr w:type="spellEnd"/>
      <w:r w:rsidRPr="00B9403B">
        <w:rPr>
          <w:sz w:val="28"/>
          <w:szCs w:val="28"/>
        </w:rPr>
        <w:t xml:space="preserve"> районах </w:t>
      </w:r>
      <w:proofErr w:type="spellStart"/>
      <w:r w:rsidRPr="00B9403B">
        <w:rPr>
          <w:sz w:val="28"/>
          <w:szCs w:val="28"/>
        </w:rPr>
        <w:t>рекомендується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виконувати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підземними</w:t>
      </w:r>
      <w:proofErr w:type="spellEnd"/>
      <w:r w:rsidRPr="00B9403B">
        <w:rPr>
          <w:sz w:val="28"/>
          <w:szCs w:val="28"/>
        </w:rPr>
        <w:t xml:space="preserve"> (</w:t>
      </w:r>
      <w:proofErr w:type="spellStart"/>
      <w:r w:rsidRPr="00B9403B">
        <w:rPr>
          <w:sz w:val="28"/>
          <w:szCs w:val="28"/>
        </w:rPr>
        <w:t>кабельними</w:t>
      </w:r>
      <w:proofErr w:type="spellEnd"/>
      <w:r w:rsidRPr="00B9403B">
        <w:rPr>
          <w:sz w:val="28"/>
          <w:szCs w:val="28"/>
        </w:rPr>
        <w:t xml:space="preserve">) </w:t>
      </w:r>
      <w:proofErr w:type="spellStart"/>
      <w:r w:rsidRPr="00B9403B">
        <w:rPr>
          <w:sz w:val="28"/>
          <w:szCs w:val="28"/>
        </w:rPr>
        <w:t>лініями</w:t>
      </w:r>
      <w:proofErr w:type="spellEnd"/>
      <w:r w:rsidRPr="00B9403B">
        <w:rPr>
          <w:sz w:val="28"/>
          <w:szCs w:val="28"/>
        </w:rPr>
        <w:t xml:space="preserve">. Для мереж у районах </w:t>
      </w:r>
      <w:proofErr w:type="spellStart"/>
      <w:r w:rsidRPr="00B9403B">
        <w:rPr>
          <w:sz w:val="28"/>
          <w:szCs w:val="28"/>
        </w:rPr>
        <w:t>одноповерхової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забудови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допускається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застосування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повітряних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ліній</w:t>
      </w:r>
      <w:proofErr w:type="spellEnd"/>
      <w:r w:rsidRPr="00B9403B">
        <w:rPr>
          <w:sz w:val="28"/>
          <w:szCs w:val="28"/>
        </w:rPr>
        <w:t>.</w:t>
      </w:r>
    </w:p>
    <w:p w14:paraId="3AC4C255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Повітряні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лінії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електропередач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напругою</w:t>
      </w:r>
      <w:proofErr w:type="spellEnd"/>
      <w:r w:rsidRPr="00B9403B">
        <w:rPr>
          <w:sz w:val="28"/>
          <w:szCs w:val="28"/>
        </w:rPr>
        <w:t xml:space="preserve"> 35 кВт і </w:t>
      </w:r>
      <w:proofErr w:type="spellStart"/>
      <w:r w:rsidRPr="00B9403B">
        <w:rPr>
          <w:sz w:val="28"/>
          <w:szCs w:val="28"/>
        </w:rPr>
        <w:t>більше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рекомендується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прокладати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переважно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вздовж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смуг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відводу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землі</w:t>
      </w:r>
      <w:proofErr w:type="spellEnd"/>
      <w:r w:rsidRPr="00B9403B">
        <w:rPr>
          <w:sz w:val="28"/>
          <w:szCs w:val="28"/>
        </w:rPr>
        <w:t xml:space="preserve"> для </w:t>
      </w:r>
      <w:proofErr w:type="spellStart"/>
      <w:r w:rsidRPr="00B9403B">
        <w:rPr>
          <w:sz w:val="28"/>
          <w:szCs w:val="28"/>
        </w:rPr>
        <w:t>зовнішнього</w:t>
      </w:r>
      <w:proofErr w:type="spellEnd"/>
      <w:r w:rsidRPr="00B9403B">
        <w:rPr>
          <w:sz w:val="28"/>
          <w:szCs w:val="28"/>
        </w:rPr>
        <w:t xml:space="preserve"> транспорту, в </w:t>
      </w:r>
      <w:proofErr w:type="spellStart"/>
      <w:r w:rsidRPr="00B9403B">
        <w:rPr>
          <w:sz w:val="28"/>
          <w:szCs w:val="28"/>
        </w:rPr>
        <w:t>санітарно-захисних</w:t>
      </w:r>
      <w:proofErr w:type="spellEnd"/>
      <w:r w:rsidRPr="00B9403B">
        <w:rPr>
          <w:sz w:val="28"/>
          <w:szCs w:val="28"/>
        </w:rPr>
        <w:t xml:space="preserve"> зонах і на </w:t>
      </w:r>
      <w:proofErr w:type="spellStart"/>
      <w:r w:rsidRPr="00B9403B">
        <w:rPr>
          <w:sz w:val="28"/>
          <w:szCs w:val="28"/>
        </w:rPr>
        <w:t>інших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територіях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що</w:t>
      </w:r>
      <w:proofErr w:type="spellEnd"/>
      <w:r w:rsidRPr="00B9403B">
        <w:rPr>
          <w:sz w:val="28"/>
          <w:szCs w:val="28"/>
        </w:rPr>
        <w:t xml:space="preserve"> не </w:t>
      </w:r>
      <w:proofErr w:type="spellStart"/>
      <w:r w:rsidRPr="00B9403B">
        <w:rPr>
          <w:sz w:val="28"/>
          <w:szCs w:val="28"/>
        </w:rPr>
        <w:t>зайняті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забудовою</w:t>
      </w:r>
      <w:proofErr w:type="spellEnd"/>
      <w:r w:rsidRPr="00B9403B">
        <w:rPr>
          <w:sz w:val="28"/>
          <w:szCs w:val="28"/>
        </w:rPr>
        <w:t>.</w:t>
      </w:r>
    </w:p>
    <w:p w14:paraId="2960045B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proofErr w:type="spellStart"/>
      <w:r w:rsidRPr="00B9403B">
        <w:rPr>
          <w:sz w:val="28"/>
          <w:szCs w:val="28"/>
        </w:rPr>
        <w:t>Межі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охоронних</w:t>
      </w:r>
      <w:proofErr w:type="spellEnd"/>
      <w:r w:rsidRPr="00B9403B">
        <w:rPr>
          <w:sz w:val="28"/>
          <w:szCs w:val="28"/>
        </w:rPr>
        <w:t xml:space="preserve"> зон </w:t>
      </w:r>
      <w:proofErr w:type="spellStart"/>
      <w:r w:rsidRPr="00B9403B">
        <w:rPr>
          <w:sz w:val="28"/>
          <w:szCs w:val="28"/>
        </w:rPr>
        <w:t>вздовж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повітряних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ліній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електропередачі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що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проходять</w:t>
      </w:r>
      <w:proofErr w:type="spellEnd"/>
      <w:r w:rsidRPr="00B9403B">
        <w:rPr>
          <w:sz w:val="28"/>
          <w:szCs w:val="28"/>
        </w:rPr>
        <w:t xml:space="preserve"> по </w:t>
      </w:r>
      <w:proofErr w:type="spellStart"/>
      <w:r w:rsidRPr="00B9403B">
        <w:rPr>
          <w:sz w:val="28"/>
          <w:szCs w:val="28"/>
        </w:rPr>
        <w:t>незаселеній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місцевості</w:t>
      </w:r>
      <w:proofErr w:type="spellEnd"/>
      <w:r w:rsidRPr="00B9403B">
        <w:rPr>
          <w:sz w:val="28"/>
          <w:szCs w:val="28"/>
        </w:rPr>
        <w:t xml:space="preserve">, </w:t>
      </w:r>
      <w:proofErr w:type="spellStart"/>
      <w:r w:rsidRPr="00B9403B">
        <w:rPr>
          <w:sz w:val="28"/>
          <w:szCs w:val="28"/>
        </w:rPr>
        <w:t>встановлюються</w:t>
      </w:r>
      <w:proofErr w:type="spellEnd"/>
      <w:r w:rsidRPr="00B9403B">
        <w:rPr>
          <w:sz w:val="28"/>
          <w:szCs w:val="28"/>
        </w:rPr>
        <w:t xml:space="preserve"> на </w:t>
      </w:r>
      <w:proofErr w:type="spellStart"/>
      <w:r w:rsidRPr="00B9403B">
        <w:rPr>
          <w:sz w:val="28"/>
          <w:szCs w:val="28"/>
        </w:rPr>
        <w:t>віддалі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від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крайнів</w:t>
      </w:r>
      <w:proofErr w:type="spellEnd"/>
      <w:r w:rsidRPr="00B9403B">
        <w:rPr>
          <w:sz w:val="28"/>
          <w:szCs w:val="28"/>
        </w:rPr>
        <w:t xml:space="preserve"> </w:t>
      </w:r>
      <w:proofErr w:type="spellStart"/>
      <w:r w:rsidRPr="00B9403B">
        <w:rPr>
          <w:sz w:val="28"/>
          <w:szCs w:val="28"/>
        </w:rPr>
        <w:t>проводів</w:t>
      </w:r>
      <w:proofErr w:type="spellEnd"/>
      <w:r w:rsidRPr="00B9403B">
        <w:rPr>
          <w:sz w:val="28"/>
          <w:szCs w:val="28"/>
        </w:rPr>
        <w:t xml:space="preserve"> для </w:t>
      </w:r>
      <w:proofErr w:type="spellStart"/>
      <w:r w:rsidRPr="00B9403B">
        <w:rPr>
          <w:sz w:val="28"/>
          <w:szCs w:val="28"/>
        </w:rPr>
        <w:t>ліній</w:t>
      </w:r>
      <w:proofErr w:type="spellEnd"/>
      <w:r w:rsidRPr="00B9403B">
        <w:rPr>
          <w:sz w:val="28"/>
          <w:szCs w:val="28"/>
        </w:rPr>
        <w:t xml:space="preserve"> з </w:t>
      </w:r>
      <w:proofErr w:type="spellStart"/>
      <w:r w:rsidRPr="00B9403B">
        <w:rPr>
          <w:sz w:val="28"/>
          <w:szCs w:val="28"/>
        </w:rPr>
        <w:t>напругою</w:t>
      </w:r>
      <w:proofErr w:type="spellEnd"/>
      <w:r w:rsidRPr="00B9403B">
        <w:rPr>
          <w:sz w:val="28"/>
          <w:szCs w:val="28"/>
        </w:rPr>
        <w:t>:</w:t>
      </w:r>
    </w:p>
    <w:p w14:paraId="6393E9DA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B9403B">
        <w:rPr>
          <w:sz w:val="28"/>
          <w:szCs w:val="28"/>
        </w:rPr>
        <w:t xml:space="preserve">до 20 кВт </w:t>
      </w:r>
      <w:proofErr w:type="spellStart"/>
      <w:r w:rsidRPr="00B9403B">
        <w:rPr>
          <w:sz w:val="28"/>
          <w:szCs w:val="28"/>
        </w:rPr>
        <w:t>включно</w:t>
      </w:r>
      <w:proofErr w:type="spellEnd"/>
      <w:r w:rsidRPr="00B9403B">
        <w:rPr>
          <w:sz w:val="28"/>
          <w:szCs w:val="28"/>
        </w:rPr>
        <w:t xml:space="preserve"> 10 м;</w:t>
      </w:r>
    </w:p>
    <w:p w14:paraId="3C7F4562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B9403B">
        <w:rPr>
          <w:sz w:val="28"/>
          <w:szCs w:val="28"/>
        </w:rPr>
        <w:t xml:space="preserve">35 кВт </w:t>
      </w:r>
      <w:proofErr w:type="spellStart"/>
      <w:r w:rsidRPr="00B9403B">
        <w:rPr>
          <w:sz w:val="28"/>
          <w:szCs w:val="28"/>
        </w:rPr>
        <w:t>включно</w:t>
      </w:r>
      <w:proofErr w:type="spellEnd"/>
      <w:r w:rsidRPr="00B9403B">
        <w:rPr>
          <w:sz w:val="28"/>
          <w:szCs w:val="28"/>
        </w:rPr>
        <w:t xml:space="preserve"> 15 м;</w:t>
      </w:r>
    </w:p>
    <w:p w14:paraId="79959DBC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B9403B">
        <w:rPr>
          <w:sz w:val="28"/>
          <w:szCs w:val="28"/>
        </w:rPr>
        <w:t xml:space="preserve">110 кВт </w:t>
      </w:r>
      <w:proofErr w:type="spellStart"/>
      <w:r w:rsidRPr="00B9403B">
        <w:rPr>
          <w:sz w:val="28"/>
          <w:szCs w:val="28"/>
        </w:rPr>
        <w:t>включно</w:t>
      </w:r>
      <w:proofErr w:type="spellEnd"/>
      <w:r w:rsidRPr="00B9403B">
        <w:rPr>
          <w:sz w:val="28"/>
          <w:szCs w:val="28"/>
        </w:rPr>
        <w:t xml:space="preserve"> 20 м;</w:t>
      </w:r>
    </w:p>
    <w:p w14:paraId="7BD12D07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B9403B">
        <w:rPr>
          <w:sz w:val="28"/>
          <w:szCs w:val="28"/>
        </w:rPr>
        <w:t xml:space="preserve">150-220 кВт </w:t>
      </w:r>
      <w:proofErr w:type="spellStart"/>
      <w:r w:rsidRPr="00B9403B">
        <w:rPr>
          <w:sz w:val="28"/>
          <w:szCs w:val="28"/>
        </w:rPr>
        <w:t>включно</w:t>
      </w:r>
      <w:proofErr w:type="spellEnd"/>
      <w:r w:rsidRPr="00B9403B">
        <w:rPr>
          <w:sz w:val="28"/>
          <w:szCs w:val="28"/>
        </w:rPr>
        <w:t xml:space="preserve"> 25 м;</w:t>
      </w:r>
    </w:p>
    <w:p w14:paraId="22B96FF0" w14:textId="77777777" w:rsidR="00B9403B" w:rsidRPr="00B9403B" w:rsidRDefault="00B9403B" w:rsidP="00B9403B">
      <w:pPr>
        <w:pStyle w:val="a3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B9403B">
        <w:rPr>
          <w:sz w:val="28"/>
          <w:szCs w:val="28"/>
        </w:rPr>
        <w:t xml:space="preserve">400 кВт </w:t>
      </w:r>
      <w:proofErr w:type="spellStart"/>
      <w:r w:rsidRPr="00B9403B">
        <w:rPr>
          <w:sz w:val="28"/>
          <w:szCs w:val="28"/>
        </w:rPr>
        <w:t>включно</w:t>
      </w:r>
      <w:proofErr w:type="spellEnd"/>
      <w:r w:rsidRPr="00B9403B">
        <w:rPr>
          <w:sz w:val="28"/>
          <w:szCs w:val="28"/>
        </w:rPr>
        <w:t xml:space="preserve"> 30 м;</w:t>
      </w:r>
    </w:p>
    <w:p w14:paraId="12F82A9A" w14:textId="377BB1AD" w:rsidR="00B9403B" w:rsidRDefault="00B9403B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70D8ACA" w14:textId="77777777" w:rsidR="00B9403B" w:rsidRDefault="00B9403B" w:rsidP="00B9403B">
      <w:pPr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Шляхове</w:t>
      </w:r>
      <w:proofErr w:type="spellEnd"/>
      <w:r w:rsidRPr="007C5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7C5BF4">
        <w:rPr>
          <w:rFonts w:ascii="Times New Roman" w:hAnsi="Times New Roman" w:cs="Times New Roman"/>
          <w:sz w:val="28"/>
          <w:szCs w:val="28"/>
        </w:rPr>
        <w:t>.</w:t>
      </w:r>
      <w:r w:rsidRPr="007C5B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1F5C0A9F" w14:textId="77777777" w:rsidR="00B9403B" w:rsidRDefault="00B9403B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67606D6" w14:textId="28F13E13" w:rsidR="00C521E5" w:rsidRDefault="00C521E5" w:rsidP="00C521E5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228D45B" w14:textId="60271E0F" w:rsidR="00C521E5" w:rsidRPr="006A4BD6" w:rsidRDefault="006A4BD6" w:rsidP="00C521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521E5" w:rsidRPr="007C5B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21E5" w:rsidRPr="007C5B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Вертикальне</w:t>
      </w:r>
      <w:proofErr w:type="spellEnd"/>
      <w:r w:rsidRPr="007C5B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7C5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C5BF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sz w:val="24"/>
          <w:szCs w:val="24"/>
          <w:lang w:val="uk-UA"/>
        </w:rPr>
        <w:t>.</w:t>
      </w:r>
    </w:p>
    <w:p w14:paraId="072BA581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Розміщення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будівель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споруд</w:t>
      </w:r>
      <w:proofErr w:type="spellEnd"/>
      <w:r w:rsidRPr="006A4BD6">
        <w:rPr>
          <w:sz w:val="28"/>
          <w:szCs w:val="28"/>
        </w:rPr>
        <w:t xml:space="preserve"> при </w:t>
      </w:r>
      <w:proofErr w:type="spellStart"/>
      <w:r w:rsidRPr="006A4BD6">
        <w:rPr>
          <w:sz w:val="28"/>
          <w:szCs w:val="28"/>
        </w:rPr>
        <w:t>плануванні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будівництві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населених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пунктів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безпосередньо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пов’язано</w:t>
      </w:r>
      <w:proofErr w:type="spellEnd"/>
      <w:r w:rsidRPr="006A4BD6">
        <w:rPr>
          <w:sz w:val="28"/>
          <w:szCs w:val="28"/>
        </w:rPr>
        <w:t xml:space="preserve"> з характером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місцевості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врахування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його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має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важливе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вирішальне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значення</w:t>
      </w:r>
      <w:proofErr w:type="spellEnd"/>
      <w:r w:rsidRPr="006A4BD6">
        <w:rPr>
          <w:sz w:val="28"/>
          <w:szCs w:val="28"/>
        </w:rPr>
        <w:t>.</w:t>
      </w:r>
    </w:p>
    <w:p w14:paraId="3078FC90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Правильне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врахування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особливостей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місцевості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полегшує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прийняття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проектних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рішень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зменшує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вартість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будівельних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робіт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забезпечує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сприятливі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умови</w:t>
      </w:r>
      <w:proofErr w:type="spellEnd"/>
      <w:r w:rsidRPr="006A4BD6">
        <w:rPr>
          <w:sz w:val="28"/>
          <w:szCs w:val="28"/>
        </w:rPr>
        <w:t xml:space="preserve"> для </w:t>
      </w:r>
      <w:proofErr w:type="spellStart"/>
      <w:r w:rsidRPr="006A4BD6">
        <w:rPr>
          <w:sz w:val="28"/>
          <w:szCs w:val="28"/>
        </w:rPr>
        <w:t>розміщення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будівель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елементів</w:t>
      </w:r>
      <w:proofErr w:type="spellEnd"/>
      <w:r w:rsidRPr="006A4BD6">
        <w:rPr>
          <w:sz w:val="28"/>
          <w:szCs w:val="28"/>
        </w:rPr>
        <w:t xml:space="preserve"> благоустрою, </w:t>
      </w:r>
      <w:proofErr w:type="spellStart"/>
      <w:r w:rsidRPr="006A4BD6">
        <w:rPr>
          <w:sz w:val="28"/>
          <w:szCs w:val="28"/>
        </w:rPr>
        <w:t>організації</w:t>
      </w:r>
      <w:proofErr w:type="spellEnd"/>
      <w:r w:rsidRPr="006A4BD6">
        <w:rPr>
          <w:sz w:val="28"/>
          <w:szCs w:val="28"/>
        </w:rPr>
        <w:t xml:space="preserve"> руху транспорту і </w:t>
      </w:r>
      <w:proofErr w:type="spellStart"/>
      <w:r w:rsidRPr="006A4BD6">
        <w:rPr>
          <w:sz w:val="28"/>
          <w:szCs w:val="28"/>
        </w:rPr>
        <w:t>пішоходів</w:t>
      </w:r>
      <w:proofErr w:type="spellEnd"/>
      <w:r w:rsidRPr="006A4BD6">
        <w:rPr>
          <w:sz w:val="28"/>
          <w:szCs w:val="28"/>
        </w:rPr>
        <w:t xml:space="preserve">. </w:t>
      </w:r>
      <w:proofErr w:type="spellStart"/>
      <w:r w:rsidRPr="006A4BD6">
        <w:rPr>
          <w:sz w:val="28"/>
          <w:szCs w:val="28"/>
        </w:rPr>
        <w:t>Виправлення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з метою </w:t>
      </w:r>
      <w:proofErr w:type="spellStart"/>
      <w:r w:rsidRPr="006A4BD6">
        <w:rPr>
          <w:sz w:val="28"/>
          <w:szCs w:val="28"/>
        </w:rPr>
        <w:t>пристосування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його</w:t>
      </w:r>
      <w:proofErr w:type="spellEnd"/>
      <w:r w:rsidRPr="006A4BD6">
        <w:rPr>
          <w:sz w:val="28"/>
          <w:szCs w:val="28"/>
        </w:rPr>
        <w:t xml:space="preserve"> для потреб </w:t>
      </w:r>
      <w:proofErr w:type="spellStart"/>
      <w:r w:rsidRPr="006A4BD6">
        <w:rPr>
          <w:sz w:val="28"/>
          <w:szCs w:val="28"/>
        </w:rPr>
        <w:t>експлуатації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називається</w:t>
      </w:r>
      <w:proofErr w:type="spellEnd"/>
      <w:r w:rsidRPr="006A4BD6">
        <w:rPr>
          <w:sz w:val="28"/>
          <w:szCs w:val="28"/>
        </w:rPr>
        <w:t> </w:t>
      </w:r>
      <w:proofErr w:type="spellStart"/>
      <w:r w:rsidRPr="006A4BD6">
        <w:rPr>
          <w:i/>
          <w:iCs/>
          <w:sz w:val="28"/>
          <w:szCs w:val="28"/>
        </w:rPr>
        <w:t>вертикальним</w:t>
      </w:r>
      <w:proofErr w:type="spellEnd"/>
      <w:r w:rsidRPr="006A4BD6">
        <w:rPr>
          <w:i/>
          <w:iCs/>
          <w:sz w:val="28"/>
          <w:szCs w:val="28"/>
        </w:rPr>
        <w:t xml:space="preserve"> </w:t>
      </w:r>
      <w:proofErr w:type="spellStart"/>
      <w:r w:rsidRPr="006A4BD6">
        <w:rPr>
          <w:i/>
          <w:iCs/>
          <w:sz w:val="28"/>
          <w:szCs w:val="28"/>
        </w:rPr>
        <w:t>плануванням</w:t>
      </w:r>
      <w:proofErr w:type="spellEnd"/>
      <w:r w:rsidRPr="006A4BD6">
        <w:rPr>
          <w:i/>
          <w:iCs/>
          <w:sz w:val="28"/>
          <w:szCs w:val="28"/>
        </w:rPr>
        <w:t>.</w:t>
      </w:r>
    </w:p>
    <w:p w14:paraId="2C7DEAB8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Виправлення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зміна</w:t>
      </w:r>
      <w:proofErr w:type="spellEnd"/>
      <w:r w:rsidRPr="006A4BD6">
        <w:rPr>
          <w:sz w:val="28"/>
          <w:szCs w:val="28"/>
        </w:rPr>
        <w:t xml:space="preserve"> природного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вирішується</w:t>
      </w:r>
      <w:proofErr w:type="spellEnd"/>
      <w:r w:rsidRPr="006A4BD6">
        <w:rPr>
          <w:sz w:val="28"/>
          <w:szCs w:val="28"/>
        </w:rPr>
        <w:t xml:space="preserve"> шляхом </w:t>
      </w:r>
      <w:proofErr w:type="spellStart"/>
      <w:r w:rsidRPr="006A4BD6">
        <w:rPr>
          <w:sz w:val="28"/>
          <w:szCs w:val="28"/>
        </w:rPr>
        <w:t>складання</w:t>
      </w:r>
      <w:proofErr w:type="spellEnd"/>
      <w:r w:rsidRPr="006A4BD6">
        <w:rPr>
          <w:sz w:val="28"/>
          <w:szCs w:val="28"/>
        </w:rPr>
        <w:t xml:space="preserve"> проекту вертикального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території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відведеної</w:t>
      </w:r>
      <w:proofErr w:type="spellEnd"/>
      <w:r w:rsidRPr="006A4BD6">
        <w:rPr>
          <w:sz w:val="28"/>
          <w:szCs w:val="28"/>
        </w:rPr>
        <w:t xml:space="preserve"> для </w:t>
      </w:r>
      <w:proofErr w:type="spellStart"/>
      <w:r w:rsidRPr="006A4BD6">
        <w:rPr>
          <w:sz w:val="28"/>
          <w:szCs w:val="28"/>
        </w:rPr>
        <w:t>будівництва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lastRenderedPageBreak/>
        <w:t>населеного</w:t>
      </w:r>
      <w:proofErr w:type="spellEnd"/>
      <w:r w:rsidRPr="006A4BD6">
        <w:rPr>
          <w:sz w:val="28"/>
          <w:szCs w:val="28"/>
        </w:rPr>
        <w:t xml:space="preserve"> пункту. </w:t>
      </w:r>
      <w:proofErr w:type="spellStart"/>
      <w:r w:rsidRPr="006A4BD6">
        <w:rPr>
          <w:sz w:val="28"/>
          <w:szCs w:val="28"/>
        </w:rPr>
        <w:t>Цей</w:t>
      </w:r>
      <w:proofErr w:type="spellEnd"/>
      <w:r w:rsidRPr="006A4BD6">
        <w:rPr>
          <w:sz w:val="28"/>
          <w:szCs w:val="28"/>
        </w:rPr>
        <w:t xml:space="preserve"> проект </w:t>
      </w:r>
      <w:proofErr w:type="spellStart"/>
      <w:r w:rsidRPr="006A4BD6">
        <w:rPr>
          <w:sz w:val="28"/>
          <w:szCs w:val="28"/>
        </w:rPr>
        <w:t>розробляється</w:t>
      </w:r>
      <w:proofErr w:type="spellEnd"/>
      <w:r w:rsidRPr="006A4BD6">
        <w:rPr>
          <w:sz w:val="28"/>
          <w:szCs w:val="28"/>
        </w:rPr>
        <w:t xml:space="preserve"> у </w:t>
      </w:r>
      <w:proofErr w:type="spellStart"/>
      <w:r w:rsidRPr="006A4BD6">
        <w:rPr>
          <w:sz w:val="28"/>
          <w:szCs w:val="28"/>
        </w:rPr>
        <w:t>тісному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зв’язку</w:t>
      </w:r>
      <w:proofErr w:type="spellEnd"/>
      <w:r w:rsidRPr="006A4BD6">
        <w:rPr>
          <w:sz w:val="28"/>
          <w:szCs w:val="28"/>
        </w:rPr>
        <w:t xml:space="preserve"> з </w:t>
      </w:r>
      <w:proofErr w:type="spellStart"/>
      <w:r w:rsidRPr="006A4BD6">
        <w:rPr>
          <w:sz w:val="28"/>
          <w:szCs w:val="28"/>
        </w:rPr>
        <w:t>архітектурно-планувальним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вирішенням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населеного</w:t>
      </w:r>
      <w:proofErr w:type="spellEnd"/>
      <w:r w:rsidRPr="006A4BD6">
        <w:rPr>
          <w:sz w:val="28"/>
          <w:szCs w:val="28"/>
        </w:rPr>
        <w:t xml:space="preserve"> пункту. Тому проект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 xml:space="preserve"> та </w:t>
      </w:r>
      <w:proofErr w:type="spellStart"/>
      <w:r w:rsidRPr="006A4BD6">
        <w:rPr>
          <w:sz w:val="28"/>
          <w:szCs w:val="28"/>
        </w:rPr>
        <w:t>забудови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населеного</w:t>
      </w:r>
      <w:proofErr w:type="spellEnd"/>
      <w:r w:rsidRPr="006A4BD6">
        <w:rPr>
          <w:sz w:val="28"/>
          <w:szCs w:val="28"/>
        </w:rPr>
        <w:t xml:space="preserve"> пункту </w:t>
      </w:r>
      <w:proofErr w:type="spellStart"/>
      <w:r w:rsidRPr="006A4BD6">
        <w:rPr>
          <w:sz w:val="28"/>
          <w:szCs w:val="28"/>
        </w:rPr>
        <w:t>обов’язково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доповнюється</w:t>
      </w:r>
      <w:proofErr w:type="spellEnd"/>
      <w:r w:rsidRPr="006A4BD6">
        <w:rPr>
          <w:sz w:val="28"/>
          <w:szCs w:val="28"/>
        </w:rPr>
        <w:t xml:space="preserve"> схемою вертикального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 xml:space="preserve">, яка </w:t>
      </w:r>
      <w:proofErr w:type="spellStart"/>
      <w:r w:rsidRPr="006A4BD6">
        <w:rPr>
          <w:sz w:val="28"/>
          <w:szCs w:val="28"/>
        </w:rPr>
        <w:t>встановлює</w:t>
      </w:r>
      <w:proofErr w:type="spellEnd"/>
      <w:r w:rsidRPr="006A4BD6">
        <w:rPr>
          <w:sz w:val="28"/>
          <w:szCs w:val="28"/>
        </w:rPr>
        <w:t xml:space="preserve"> скелет </w:t>
      </w:r>
      <w:proofErr w:type="spellStart"/>
      <w:r w:rsidRPr="006A4BD6">
        <w:rPr>
          <w:sz w:val="28"/>
          <w:szCs w:val="28"/>
        </w:rPr>
        <w:t>проектної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поверхні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території</w:t>
      </w:r>
      <w:proofErr w:type="spellEnd"/>
      <w:r w:rsidRPr="006A4BD6">
        <w:rPr>
          <w:sz w:val="28"/>
          <w:szCs w:val="28"/>
        </w:rPr>
        <w:t>.</w:t>
      </w:r>
    </w:p>
    <w:p w14:paraId="75A2567A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Завданням</w:t>
      </w:r>
      <w:proofErr w:type="spellEnd"/>
      <w:r w:rsidRPr="006A4BD6">
        <w:rPr>
          <w:sz w:val="28"/>
          <w:szCs w:val="28"/>
        </w:rPr>
        <w:t xml:space="preserve"> вертикального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 xml:space="preserve"> є </w:t>
      </w:r>
      <w:proofErr w:type="spellStart"/>
      <w:r w:rsidRPr="006A4BD6">
        <w:rPr>
          <w:sz w:val="28"/>
          <w:szCs w:val="28"/>
        </w:rPr>
        <w:t>проектування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повздовжніх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ухилів</w:t>
      </w:r>
      <w:proofErr w:type="spellEnd"/>
      <w:r w:rsidRPr="006A4BD6">
        <w:rPr>
          <w:sz w:val="28"/>
          <w:szCs w:val="28"/>
        </w:rPr>
        <w:t xml:space="preserve"> осей </w:t>
      </w:r>
      <w:proofErr w:type="spellStart"/>
      <w:r w:rsidRPr="006A4BD6">
        <w:rPr>
          <w:sz w:val="28"/>
          <w:szCs w:val="28"/>
        </w:rPr>
        <w:t>вулиць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які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забезпечують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організацію</w:t>
      </w:r>
      <w:proofErr w:type="spellEnd"/>
      <w:r w:rsidRPr="006A4BD6">
        <w:rPr>
          <w:sz w:val="28"/>
          <w:szCs w:val="28"/>
        </w:rPr>
        <w:t xml:space="preserve"> стоку </w:t>
      </w:r>
      <w:proofErr w:type="spellStart"/>
      <w:r w:rsidRPr="006A4BD6">
        <w:rPr>
          <w:sz w:val="28"/>
          <w:szCs w:val="28"/>
        </w:rPr>
        <w:t>атмосферних</w:t>
      </w:r>
      <w:proofErr w:type="spellEnd"/>
      <w:r w:rsidRPr="006A4BD6">
        <w:rPr>
          <w:sz w:val="28"/>
          <w:szCs w:val="28"/>
        </w:rPr>
        <w:t xml:space="preserve"> вод і </w:t>
      </w:r>
      <w:proofErr w:type="spellStart"/>
      <w:r w:rsidRPr="006A4BD6">
        <w:rPr>
          <w:sz w:val="28"/>
          <w:szCs w:val="28"/>
        </w:rPr>
        <w:t>виведення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їх</w:t>
      </w:r>
      <w:proofErr w:type="spellEnd"/>
      <w:r w:rsidRPr="006A4BD6">
        <w:rPr>
          <w:sz w:val="28"/>
          <w:szCs w:val="28"/>
        </w:rPr>
        <w:t xml:space="preserve"> за </w:t>
      </w:r>
      <w:proofErr w:type="spellStart"/>
      <w:r w:rsidRPr="006A4BD6">
        <w:rPr>
          <w:sz w:val="28"/>
          <w:szCs w:val="28"/>
        </w:rPr>
        <w:t>межі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населеного</w:t>
      </w:r>
      <w:proofErr w:type="spellEnd"/>
      <w:r w:rsidRPr="006A4BD6">
        <w:rPr>
          <w:sz w:val="28"/>
          <w:szCs w:val="28"/>
        </w:rPr>
        <w:t xml:space="preserve"> пункту (</w:t>
      </w:r>
      <w:proofErr w:type="spellStart"/>
      <w:r w:rsidRPr="006A4BD6">
        <w:rPr>
          <w:sz w:val="28"/>
          <w:szCs w:val="28"/>
        </w:rPr>
        <w:t>або</w:t>
      </w:r>
      <w:proofErr w:type="spellEnd"/>
      <w:r w:rsidRPr="006A4BD6">
        <w:rPr>
          <w:sz w:val="28"/>
          <w:szCs w:val="28"/>
        </w:rPr>
        <w:t xml:space="preserve"> в </w:t>
      </w:r>
      <w:proofErr w:type="spellStart"/>
      <w:r w:rsidRPr="006A4BD6">
        <w:rPr>
          <w:sz w:val="28"/>
          <w:szCs w:val="28"/>
        </w:rPr>
        <w:t>зливну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каналізацію</w:t>
      </w:r>
      <w:proofErr w:type="spellEnd"/>
      <w:r w:rsidRPr="006A4BD6">
        <w:rPr>
          <w:sz w:val="28"/>
          <w:szCs w:val="28"/>
        </w:rPr>
        <w:t xml:space="preserve">) і </w:t>
      </w:r>
      <w:proofErr w:type="spellStart"/>
      <w:r w:rsidRPr="006A4BD6">
        <w:rPr>
          <w:sz w:val="28"/>
          <w:szCs w:val="28"/>
        </w:rPr>
        <w:t>нормальні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умови</w:t>
      </w:r>
      <w:proofErr w:type="spellEnd"/>
      <w:r w:rsidRPr="006A4BD6">
        <w:rPr>
          <w:sz w:val="28"/>
          <w:szCs w:val="28"/>
        </w:rPr>
        <w:t xml:space="preserve"> для руху транспорту </w:t>
      </w:r>
      <w:proofErr w:type="spellStart"/>
      <w:r w:rsidRPr="006A4BD6">
        <w:rPr>
          <w:sz w:val="28"/>
          <w:szCs w:val="28"/>
        </w:rPr>
        <w:t>відповідно</w:t>
      </w:r>
      <w:proofErr w:type="spellEnd"/>
      <w:r w:rsidRPr="006A4BD6">
        <w:rPr>
          <w:sz w:val="28"/>
          <w:szCs w:val="28"/>
        </w:rPr>
        <w:t xml:space="preserve"> до </w:t>
      </w:r>
      <w:proofErr w:type="spellStart"/>
      <w:r w:rsidRPr="006A4BD6">
        <w:rPr>
          <w:sz w:val="28"/>
          <w:szCs w:val="28"/>
        </w:rPr>
        <w:t>нормативних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параметрів</w:t>
      </w:r>
      <w:proofErr w:type="spellEnd"/>
      <w:r w:rsidRPr="006A4BD6">
        <w:rPr>
          <w:sz w:val="28"/>
          <w:szCs w:val="28"/>
        </w:rPr>
        <w:t>.</w:t>
      </w:r>
    </w:p>
    <w:p w14:paraId="6FDC8B04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Розробка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схеми</w:t>
      </w:r>
      <w:proofErr w:type="spellEnd"/>
      <w:r w:rsidRPr="006A4BD6">
        <w:rPr>
          <w:sz w:val="28"/>
          <w:szCs w:val="28"/>
        </w:rPr>
        <w:t xml:space="preserve"> вертикального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виконується</w:t>
      </w:r>
      <w:proofErr w:type="spellEnd"/>
      <w:r w:rsidRPr="006A4BD6">
        <w:rPr>
          <w:sz w:val="28"/>
          <w:szCs w:val="28"/>
        </w:rPr>
        <w:t xml:space="preserve"> в два </w:t>
      </w:r>
      <w:proofErr w:type="spellStart"/>
      <w:r w:rsidRPr="006A4BD6">
        <w:rPr>
          <w:sz w:val="28"/>
          <w:szCs w:val="28"/>
        </w:rPr>
        <w:t>етапи</w:t>
      </w:r>
      <w:proofErr w:type="spellEnd"/>
      <w:r w:rsidRPr="006A4BD6">
        <w:rPr>
          <w:sz w:val="28"/>
          <w:szCs w:val="28"/>
        </w:rPr>
        <w:t xml:space="preserve">. </w:t>
      </w:r>
      <w:proofErr w:type="spellStart"/>
      <w:r w:rsidRPr="006A4BD6">
        <w:rPr>
          <w:sz w:val="28"/>
          <w:szCs w:val="28"/>
        </w:rPr>
        <w:t>Спочатку</w:t>
      </w:r>
      <w:proofErr w:type="spellEnd"/>
      <w:r w:rsidRPr="006A4BD6">
        <w:rPr>
          <w:sz w:val="28"/>
          <w:szCs w:val="28"/>
        </w:rPr>
        <w:t xml:space="preserve"> детально </w:t>
      </w:r>
      <w:proofErr w:type="spellStart"/>
      <w:r w:rsidRPr="006A4BD6">
        <w:rPr>
          <w:sz w:val="28"/>
          <w:szCs w:val="28"/>
        </w:rPr>
        <w:t>вивчають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аналізують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території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населеного</w:t>
      </w:r>
      <w:proofErr w:type="spellEnd"/>
      <w:r w:rsidRPr="006A4BD6">
        <w:rPr>
          <w:sz w:val="28"/>
          <w:szCs w:val="28"/>
        </w:rPr>
        <w:t xml:space="preserve"> пункту з </w:t>
      </w:r>
      <w:proofErr w:type="spellStart"/>
      <w:r w:rsidRPr="006A4BD6">
        <w:rPr>
          <w:sz w:val="28"/>
          <w:szCs w:val="28"/>
        </w:rPr>
        <w:t>подальшим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виготовленням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самої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схеми</w:t>
      </w:r>
      <w:proofErr w:type="spellEnd"/>
      <w:r w:rsidRPr="006A4BD6">
        <w:rPr>
          <w:sz w:val="28"/>
          <w:szCs w:val="28"/>
        </w:rPr>
        <w:t>.</w:t>
      </w:r>
    </w:p>
    <w:p w14:paraId="7ACE0CAA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6A4BD6">
        <w:rPr>
          <w:sz w:val="28"/>
          <w:szCs w:val="28"/>
        </w:rPr>
        <w:t xml:space="preserve">При </w:t>
      </w:r>
      <w:proofErr w:type="spellStart"/>
      <w:r w:rsidRPr="006A4BD6">
        <w:rPr>
          <w:sz w:val="28"/>
          <w:szCs w:val="28"/>
        </w:rPr>
        <w:t>цьому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аналізуються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умови</w:t>
      </w:r>
      <w:proofErr w:type="spellEnd"/>
      <w:r w:rsidRPr="006A4BD6">
        <w:rPr>
          <w:sz w:val="28"/>
          <w:szCs w:val="28"/>
        </w:rPr>
        <w:t xml:space="preserve"> для </w:t>
      </w:r>
      <w:proofErr w:type="spellStart"/>
      <w:r w:rsidRPr="006A4BD6">
        <w:rPr>
          <w:sz w:val="28"/>
          <w:szCs w:val="28"/>
        </w:rPr>
        <w:t>відведення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поверхневих</w:t>
      </w:r>
      <w:proofErr w:type="spellEnd"/>
      <w:r w:rsidRPr="006A4BD6">
        <w:rPr>
          <w:sz w:val="28"/>
          <w:szCs w:val="28"/>
        </w:rPr>
        <w:t xml:space="preserve"> вод по лотках </w:t>
      </w:r>
      <w:proofErr w:type="spellStart"/>
      <w:r w:rsidRPr="006A4BD6">
        <w:rPr>
          <w:sz w:val="28"/>
          <w:szCs w:val="28"/>
        </w:rPr>
        <w:t>проїзних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частин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вулиць</w:t>
      </w:r>
      <w:proofErr w:type="spellEnd"/>
      <w:r w:rsidRPr="006A4BD6">
        <w:rPr>
          <w:sz w:val="28"/>
          <w:szCs w:val="28"/>
        </w:rPr>
        <w:t xml:space="preserve"> за </w:t>
      </w:r>
      <w:proofErr w:type="spellStart"/>
      <w:r w:rsidRPr="006A4BD6">
        <w:rPr>
          <w:sz w:val="28"/>
          <w:szCs w:val="28"/>
        </w:rPr>
        <w:t>межі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поселення</w:t>
      </w:r>
      <w:proofErr w:type="spellEnd"/>
      <w:r w:rsidRPr="006A4BD6">
        <w:rPr>
          <w:sz w:val="28"/>
          <w:szCs w:val="28"/>
        </w:rPr>
        <w:t xml:space="preserve">. Для </w:t>
      </w:r>
      <w:proofErr w:type="spellStart"/>
      <w:r w:rsidRPr="006A4BD6">
        <w:rPr>
          <w:sz w:val="28"/>
          <w:szCs w:val="28"/>
        </w:rPr>
        <w:t>забезпечення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цієї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умови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передбачаються</w:t>
      </w:r>
      <w:proofErr w:type="spellEnd"/>
      <w:r w:rsidRPr="006A4BD6">
        <w:rPr>
          <w:sz w:val="28"/>
          <w:szCs w:val="28"/>
        </w:rPr>
        <w:t xml:space="preserve"> при </w:t>
      </w:r>
      <w:proofErr w:type="spellStart"/>
      <w:r w:rsidRPr="006A4BD6">
        <w:rPr>
          <w:sz w:val="28"/>
          <w:szCs w:val="28"/>
        </w:rPr>
        <w:t>необхідності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підсипки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зрізки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ґрунту</w:t>
      </w:r>
      <w:proofErr w:type="spellEnd"/>
      <w:r w:rsidRPr="006A4BD6">
        <w:rPr>
          <w:sz w:val="28"/>
          <w:szCs w:val="28"/>
        </w:rPr>
        <w:t xml:space="preserve"> для </w:t>
      </w:r>
      <w:proofErr w:type="spellStart"/>
      <w:r w:rsidRPr="006A4BD6">
        <w:rPr>
          <w:sz w:val="28"/>
          <w:szCs w:val="28"/>
        </w:rPr>
        <w:t>встановлення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потрібного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повздовжнього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ухилу</w:t>
      </w:r>
      <w:proofErr w:type="spellEnd"/>
      <w:r w:rsidRPr="006A4BD6">
        <w:rPr>
          <w:sz w:val="28"/>
          <w:szCs w:val="28"/>
        </w:rPr>
        <w:t xml:space="preserve">. </w:t>
      </w:r>
      <w:proofErr w:type="spellStart"/>
      <w:r w:rsidRPr="006A4BD6">
        <w:rPr>
          <w:sz w:val="28"/>
          <w:szCs w:val="28"/>
        </w:rPr>
        <w:t>Зрізка</w:t>
      </w:r>
      <w:proofErr w:type="spellEnd"/>
      <w:r w:rsidRPr="006A4BD6">
        <w:rPr>
          <w:sz w:val="28"/>
          <w:szCs w:val="28"/>
        </w:rPr>
        <w:t xml:space="preserve"> (</w:t>
      </w:r>
      <w:proofErr w:type="spellStart"/>
      <w:r w:rsidRPr="006A4BD6">
        <w:rPr>
          <w:sz w:val="28"/>
          <w:szCs w:val="28"/>
        </w:rPr>
        <w:t>виїмка</w:t>
      </w:r>
      <w:proofErr w:type="spellEnd"/>
      <w:r w:rsidRPr="006A4BD6">
        <w:rPr>
          <w:sz w:val="28"/>
          <w:szCs w:val="28"/>
        </w:rPr>
        <w:t xml:space="preserve">) </w:t>
      </w:r>
      <w:proofErr w:type="spellStart"/>
      <w:r w:rsidRPr="006A4BD6">
        <w:rPr>
          <w:sz w:val="28"/>
          <w:szCs w:val="28"/>
        </w:rPr>
        <w:t>ґрунту</w:t>
      </w:r>
      <w:proofErr w:type="spellEnd"/>
      <w:r w:rsidRPr="006A4BD6">
        <w:rPr>
          <w:sz w:val="28"/>
          <w:szCs w:val="28"/>
        </w:rPr>
        <w:t xml:space="preserve"> не </w:t>
      </w:r>
      <w:proofErr w:type="spellStart"/>
      <w:r w:rsidRPr="006A4BD6">
        <w:rPr>
          <w:sz w:val="28"/>
          <w:szCs w:val="28"/>
        </w:rPr>
        <w:t>допускається</w:t>
      </w:r>
      <w:proofErr w:type="spellEnd"/>
      <w:r w:rsidRPr="006A4BD6">
        <w:rPr>
          <w:sz w:val="28"/>
          <w:szCs w:val="28"/>
        </w:rPr>
        <w:t xml:space="preserve"> в </w:t>
      </w:r>
      <w:proofErr w:type="spellStart"/>
      <w:r w:rsidRPr="006A4BD6">
        <w:rPr>
          <w:sz w:val="28"/>
          <w:szCs w:val="28"/>
        </w:rPr>
        <w:t>місцях</w:t>
      </w:r>
      <w:proofErr w:type="spellEnd"/>
      <w:r w:rsidRPr="006A4BD6">
        <w:rPr>
          <w:sz w:val="28"/>
          <w:szCs w:val="28"/>
        </w:rPr>
        <w:t xml:space="preserve"> з </w:t>
      </w:r>
      <w:proofErr w:type="spellStart"/>
      <w:r w:rsidRPr="006A4BD6">
        <w:rPr>
          <w:sz w:val="28"/>
          <w:szCs w:val="28"/>
        </w:rPr>
        <w:t>високим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рівнем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ґрунтових</w:t>
      </w:r>
      <w:proofErr w:type="spellEnd"/>
      <w:r w:rsidRPr="006A4BD6">
        <w:rPr>
          <w:sz w:val="28"/>
          <w:szCs w:val="28"/>
        </w:rPr>
        <w:t xml:space="preserve"> вод.</w:t>
      </w:r>
    </w:p>
    <w:p w14:paraId="4DC8CB78" w14:textId="583C607B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Аналіз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проводиться на </w:t>
      </w:r>
      <w:proofErr w:type="spellStart"/>
      <w:r w:rsidRPr="006A4BD6">
        <w:rPr>
          <w:sz w:val="28"/>
          <w:szCs w:val="28"/>
        </w:rPr>
        <w:t>плані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червоних</w:t>
      </w:r>
      <w:proofErr w:type="spellEnd"/>
      <w:r w:rsidRPr="006A4BD6">
        <w:rPr>
          <w:sz w:val="28"/>
          <w:szCs w:val="28"/>
        </w:rPr>
        <w:t xml:space="preserve"> (</w:t>
      </w:r>
      <w:proofErr w:type="spellStart"/>
      <w:r w:rsidRPr="006A4BD6">
        <w:rPr>
          <w:sz w:val="28"/>
          <w:szCs w:val="28"/>
        </w:rPr>
        <w:t>проектних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ліній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вуличної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мережі</w:t>
      </w:r>
      <w:proofErr w:type="spellEnd"/>
      <w:r w:rsidRPr="006A4BD6">
        <w:rPr>
          <w:sz w:val="28"/>
          <w:szCs w:val="28"/>
        </w:rPr>
        <w:t xml:space="preserve"> на </w:t>
      </w:r>
      <w:proofErr w:type="spellStart"/>
      <w:r w:rsidRPr="006A4BD6">
        <w:rPr>
          <w:sz w:val="28"/>
          <w:szCs w:val="28"/>
        </w:rPr>
        <w:t>топографічній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підоснові</w:t>
      </w:r>
      <w:proofErr w:type="spellEnd"/>
      <w:r w:rsidRPr="006A4BD6">
        <w:rPr>
          <w:sz w:val="28"/>
          <w:szCs w:val="28"/>
        </w:rPr>
        <w:t xml:space="preserve"> масштабу 1:2000 </w:t>
      </w:r>
      <w:proofErr w:type="spellStart"/>
      <w:r w:rsidRPr="006A4BD6">
        <w:rPr>
          <w:sz w:val="28"/>
          <w:szCs w:val="28"/>
        </w:rPr>
        <w:t>або</w:t>
      </w:r>
      <w:proofErr w:type="spellEnd"/>
      <w:r w:rsidRPr="006A4BD6">
        <w:rPr>
          <w:sz w:val="28"/>
          <w:szCs w:val="28"/>
        </w:rPr>
        <w:t xml:space="preserve"> 1:5000 (рис. </w:t>
      </w:r>
      <w:r>
        <w:rPr>
          <w:sz w:val="28"/>
          <w:szCs w:val="28"/>
          <w:lang w:val="uk-UA"/>
        </w:rPr>
        <w:t>1</w:t>
      </w:r>
      <w:r w:rsidRPr="006A4BD6">
        <w:rPr>
          <w:sz w:val="28"/>
          <w:szCs w:val="28"/>
        </w:rPr>
        <w:t>).</w:t>
      </w:r>
    </w:p>
    <w:p w14:paraId="2B32A239" w14:textId="27A1CE1B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6A4BD6">
        <w:rPr>
          <w:noProof/>
          <w:sz w:val="28"/>
          <w:szCs w:val="28"/>
        </w:rPr>
        <w:drawing>
          <wp:inline distT="0" distB="0" distL="0" distR="0" wp14:anchorId="32149179" wp14:editId="4DD2B620">
            <wp:extent cx="5940425" cy="4140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62033" w14:textId="236442C6" w:rsidR="006A4BD6" w:rsidRDefault="006A4BD6" w:rsidP="006A4BD6">
      <w:pPr>
        <w:pStyle w:val="a3"/>
        <w:spacing w:before="0" w:beforeAutospacing="0" w:after="0" w:afterAutospacing="0"/>
        <w:ind w:left="-567" w:firstLine="283"/>
        <w:jc w:val="center"/>
        <w:rPr>
          <w:sz w:val="28"/>
          <w:szCs w:val="28"/>
        </w:rPr>
      </w:pPr>
      <w:r w:rsidRPr="006A4BD6">
        <w:rPr>
          <w:sz w:val="28"/>
          <w:szCs w:val="28"/>
        </w:rPr>
        <w:t xml:space="preserve">Рис. </w:t>
      </w:r>
      <w:r>
        <w:rPr>
          <w:sz w:val="28"/>
          <w:szCs w:val="28"/>
          <w:lang w:val="uk-UA"/>
        </w:rPr>
        <w:t>1</w:t>
      </w:r>
      <w:r w:rsidRPr="006A4BD6">
        <w:rPr>
          <w:sz w:val="28"/>
          <w:szCs w:val="28"/>
        </w:rPr>
        <w:t xml:space="preserve">. Схема </w:t>
      </w:r>
      <w:proofErr w:type="spellStart"/>
      <w:r w:rsidRPr="006A4BD6">
        <w:rPr>
          <w:sz w:val="28"/>
          <w:szCs w:val="28"/>
        </w:rPr>
        <w:t>аналізу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>.</w:t>
      </w:r>
    </w:p>
    <w:p w14:paraId="586278A6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center"/>
        <w:rPr>
          <w:sz w:val="28"/>
          <w:szCs w:val="28"/>
        </w:rPr>
      </w:pPr>
    </w:p>
    <w:p w14:paraId="448E26E9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Аналіз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проводиться в </w:t>
      </w:r>
      <w:proofErr w:type="spellStart"/>
      <w:r w:rsidRPr="006A4BD6">
        <w:rPr>
          <w:sz w:val="28"/>
          <w:szCs w:val="28"/>
        </w:rPr>
        <w:t>такій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послідовності</w:t>
      </w:r>
      <w:proofErr w:type="spellEnd"/>
      <w:r w:rsidRPr="006A4BD6">
        <w:rPr>
          <w:sz w:val="28"/>
          <w:szCs w:val="28"/>
        </w:rPr>
        <w:t xml:space="preserve">: на </w:t>
      </w:r>
      <w:proofErr w:type="spellStart"/>
      <w:r w:rsidRPr="006A4BD6">
        <w:rPr>
          <w:sz w:val="28"/>
          <w:szCs w:val="28"/>
        </w:rPr>
        <w:t>плані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хрестиками</w:t>
      </w:r>
      <w:proofErr w:type="spellEnd"/>
      <w:r w:rsidRPr="006A4BD6">
        <w:rPr>
          <w:sz w:val="28"/>
          <w:szCs w:val="28"/>
        </w:rPr>
        <w:t xml:space="preserve"> (+) </w:t>
      </w:r>
      <w:proofErr w:type="spellStart"/>
      <w:r w:rsidRPr="006A4BD6">
        <w:rPr>
          <w:sz w:val="28"/>
          <w:szCs w:val="28"/>
        </w:rPr>
        <w:t>помічають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опорні</w:t>
      </w:r>
      <w:proofErr w:type="spellEnd"/>
      <w:r w:rsidRPr="006A4BD6">
        <w:rPr>
          <w:sz w:val="28"/>
          <w:szCs w:val="28"/>
        </w:rPr>
        <w:t xml:space="preserve"> точки – </w:t>
      </w:r>
      <w:proofErr w:type="spellStart"/>
      <w:r w:rsidRPr="006A4BD6">
        <w:rPr>
          <w:sz w:val="28"/>
          <w:szCs w:val="28"/>
        </w:rPr>
        <w:t>місця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перетину</w:t>
      </w:r>
      <w:proofErr w:type="spellEnd"/>
      <w:r w:rsidRPr="006A4BD6">
        <w:rPr>
          <w:sz w:val="28"/>
          <w:szCs w:val="28"/>
        </w:rPr>
        <w:t xml:space="preserve"> і повороту осей </w:t>
      </w:r>
      <w:proofErr w:type="spellStart"/>
      <w:r w:rsidRPr="006A4BD6">
        <w:rPr>
          <w:sz w:val="28"/>
          <w:szCs w:val="28"/>
        </w:rPr>
        <w:t>вулиць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перетин</w:t>
      </w:r>
      <w:proofErr w:type="spellEnd"/>
      <w:r w:rsidRPr="006A4BD6">
        <w:rPr>
          <w:sz w:val="28"/>
          <w:szCs w:val="28"/>
        </w:rPr>
        <w:t xml:space="preserve"> осей </w:t>
      </w:r>
      <w:proofErr w:type="spellStart"/>
      <w:r w:rsidRPr="006A4BD6">
        <w:rPr>
          <w:sz w:val="28"/>
          <w:szCs w:val="28"/>
        </w:rPr>
        <w:t>вулиць</w:t>
      </w:r>
      <w:proofErr w:type="spellEnd"/>
      <w:r w:rsidRPr="006A4BD6">
        <w:rPr>
          <w:sz w:val="28"/>
          <w:szCs w:val="28"/>
        </w:rPr>
        <w:t xml:space="preserve"> з межами </w:t>
      </w:r>
      <w:proofErr w:type="spellStart"/>
      <w:r w:rsidRPr="006A4BD6">
        <w:rPr>
          <w:sz w:val="28"/>
          <w:szCs w:val="28"/>
        </w:rPr>
        <w:t>площ</w:t>
      </w:r>
      <w:proofErr w:type="spellEnd"/>
      <w:r w:rsidRPr="006A4BD6">
        <w:rPr>
          <w:sz w:val="28"/>
          <w:szCs w:val="28"/>
        </w:rPr>
        <w:t xml:space="preserve">, з межами </w:t>
      </w:r>
      <w:proofErr w:type="spellStart"/>
      <w:r w:rsidRPr="006A4BD6">
        <w:rPr>
          <w:sz w:val="28"/>
          <w:szCs w:val="28"/>
        </w:rPr>
        <w:t>населеного</w:t>
      </w:r>
      <w:proofErr w:type="spellEnd"/>
      <w:r w:rsidRPr="006A4BD6">
        <w:rPr>
          <w:sz w:val="28"/>
          <w:szCs w:val="28"/>
        </w:rPr>
        <w:t xml:space="preserve"> пункту, з </w:t>
      </w:r>
      <w:proofErr w:type="spellStart"/>
      <w:r w:rsidRPr="006A4BD6">
        <w:rPr>
          <w:sz w:val="28"/>
          <w:szCs w:val="28"/>
        </w:rPr>
        <w:t>характерними</w:t>
      </w:r>
      <w:proofErr w:type="spellEnd"/>
      <w:r w:rsidRPr="006A4BD6">
        <w:rPr>
          <w:sz w:val="28"/>
          <w:szCs w:val="28"/>
        </w:rPr>
        <w:t xml:space="preserve"> точками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(</w:t>
      </w:r>
      <w:proofErr w:type="spellStart"/>
      <w:r w:rsidRPr="006A4BD6">
        <w:rPr>
          <w:sz w:val="28"/>
          <w:szCs w:val="28"/>
        </w:rPr>
        <w:t>місця</w:t>
      </w:r>
      <w:proofErr w:type="spellEnd"/>
      <w:r w:rsidRPr="006A4BD6">
        <w:rPr>
          <w:sz w:val="28"/>
          <w:szCs w:val="28"/>
        </w:rPr>
        <w:t xml:space="preserve"> вертикального перелому </w:t>
      </w:r>
      <w:proofErr w:type="spellStart"/>
      <w:r w:rsidRPr="006A4BD6">
        <w:rPr>
          <w:sz w:val="28"/>
          <w:szCs w:val="28"/>
        </w:rPr>
        <w:t>вулиць</w:t>
      </w:r>
      <w:proofErr w:type="spellEnd"/>
      <w:r w:rsidRPr="006A4BD6">
        <w:rPr>
          <w:sz w:val="28"/>
          <w:szCs w:val="28"/>
        </w:rPr>
        <w:t xml:space="preserve">). Для </w:t>
      </w:r>
      <w:proofErr w:type="spellStart"/>
      <w:r w:rsidRPr="006A4BD6">
        <w:rPr>
          <w:sz w:val="28"/>
          <w:szCs w:val="28"/>
        </w:rPr>
        <w:t>усіх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опорних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точок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визначають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висотні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відмітки</w:t>
      </w:r>
      <w:proofErr w:type="spellEnd"/>
      <w:r w:rsidRPr="006A4BD6">
        <w:rPr>
          <w:sz w:val="28"/>
          <w:szCs w:val="28"/>
        </w:rPr>
        <w:t xml:space="preserve"> при </w:t>
      </w:r>
      <w:proofErr w:type="spellStart"/>
      <w:r w:rsidRPr="006A4BD6">
        <w:rPr>
          <w:sz w:val="28"/>
          <w:szCs w:val="28"/>
        </w:rPr>
        <w:t>існуючому</w:t>
      </w:r>
      <w:proofErr w:type="spellEnd"/>
      <w:r w:rsidRPr="006A4BD6">
        <w:rPr>
          <w:sz w:val="28"/>
          <w:szCs w:val="28"/>
        </w:rPr>
        <w:t xml:space="preserve"> природному </w:t>
      </w:r>
      <w:proofErr w:type="spellStart"/>
      <w:r w:rsidRPr="006A4BD6">
        <w:rPr>
          <w:sz w:val="28"/>
          <w:szCs w:val="28"/>
        </w:rPr>
        <w:t>рельєфі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виписують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їх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lastRenderedPageBreak/>
        <w:t>під</w:t>
      </w:r>
      <w:proofErr w:type="spellEnd"/>
      <w:r w:rsidRPr="006A4BD6">
        <w:rPr>
          <w:sz w:val="28"/>
          <w:szCs w:val="28"/>
        </w:rPr>
        <w:t xml:space="preserve"> горизонтальною </w:t>
      </w:r>
      <w:proofErr w:type="spellStart"/>
      <w:r w:rsidRPr="006A4BD6">
        <w:rPr>
          <w:sz w:val="28"/>
          <w:szCs w:val="28"/>
        </w:rPr>
        <w:t>лінією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винесеною</w:t>
      </w:r>
      <w:proofErr w:type="spellEnd"/>
      <w:r w:rsidRPr="006A4BD6">
        <w:rPr>
          <w:sz w:val="28"/>
          <w:szCs w:val="28"/>
        </w:rPr>
        <w:t xml:space="preserve"> в </w:t>
      </w:r>
      <w:proofErr w:type="spellStart"/>
      <w:r w:rsidRPr="006A4BD6">
        <w:rPr>
          <w:sz w:val="28"/>
          <w:szCs w:val="28"/>
        </w:rPr>
        <w:t>бік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кожної</w:t>
      </w:r>
      <w:proofErr w:type="spellEnd"/>
      <w:r w:rsidRPr="006A4BD6">
        <w:rPr>
          <w:sz w:val="28"/>
          <w:szCs w:val="28"/>
        </w:rPr>
        <w:t xml:space="preserve"> точки. </w:t>
      </w:r>
      <w:proofErr w:type="spellStart"/>
      <w:r w:rsidRPr="006A4BD6">
        <w:rPr>
          <w:sz w:val="28"/>
          <w:szCs w:val="28"/>
        </w:rPr>
        <w:t>Між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суміжними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опорними</w:t>
      </w:r>
      <w:proofErr w:type="spellEnd"/>
      <w:r w:rsidRPr="006A4BD6">
        <w:rPr>
          <w:sz w:val="28"/>
          <w:szCs w:val="28"/>
        </w:rPr>
        <w:t xml:space="preserve"> точками на осях </w:t>
      </w:r>
      <w:proofErr w:type="spellStart"/>
      <w:r w:rsidRPr="006A4BD6">
        <w:rPr>
          <w:sz w:val="28"/>
          <w:szCs w:val="28"/>
        </w:rPr>
        <w:t>вулиць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стрілками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показані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напрями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ухилів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умовах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існуючого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>.</w:t>
      </w:r>
    </w:p>
    <w:p w14:paraId="1C777F14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Піл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стрілкою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виписують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віддалі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між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сусідніми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опорними</w:t>
      </w:r>
      <w:proofErr w:type="spellEnd"/>
      <w:r w:rsidRPr="006A4BD6">
        <w:rPr>
          <w:sz w:val="28"/>
          <w:szCs w:val="28"/>
        </w:rPr>
        <w:t xml:space="preserve"> точками, а над </w:t>
      </w:r>
      <w:proofErr w:type="spellStart"/>
      <w:r w:rsidRPr="006A4BD6">
        <w:rPr>
          <w:sz w:val="28"/>
          <w:szCs w:val="28"/>
        </w:rPr>
        <w:t>стрілками</w:t>
      </w:r>
      <w:proofErr w:type="spellEnd"/>
      <w:r w:rsidRPr="006A4BD6">
        <w:rPr>
          <w:sz w:val="28"/>
          <w:szCs w:val="28"/>
        </w:rPr>
        <w:t xml:space="preserve"> – </w:t>
      </w:r>
      <w:proofErr w:type="spellStart"/>
      <w:r w:rsidRPr="006A4BD6">
        <w:rPr>
          <w:sz w:val="28"/>
          <w:szCs w:val="28"/>
        </w:rPr>
        <w:t>ухили</w:t>
      </w:r>
      <w:proofErr w:type="spellEnd"/>
      <w:r w:rsidRPr="006A4BD6">
        <w:rPr>
          <w:sz w:val="28"/>
          <w:szCs w:val="28"/>
        </w:rPr>
        <w:t xml:space="preserve"> в про милях (‰), </w:t>
      </w:r>
      <w:proofErr w:type="spellStart"/>
      <w:r w:rsidRPr="006A4BD6">
        <w:rPr>
          <w:sz w:val="28"/>
          <w:szCs w:val="28"/>
        </w:rPr>
        <w:t>тисячних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частинах</w:t>
      </w:r>
      <w:proofErr w:type="spellEnd"/>
      <w:r w:rsidRPr="006A4BD6">
        <w:rPr>
          <w:sz w:val="28"/>
          <w:szCs w:val="28"/>
        </w:rPr>
        <w:t xml:space="preserve">. </w:t>
      </w:r>
      <w:proofErr w:type="spellStart"/>
      <w:r w:rsidRPr="006A4BD6">
        <w:rPr>
          <w:sz w:val="28"/>
          <w:szCs w:val="28"/>
        </w:rPr>
        <w:t>Ухили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визначаються</w:t>
      </w:r>
      <w:proofErr w:type="spellEnd"/>
      <w:r w:rsidRPr="006A4BD6">
        <w:rPr>
          <w:sz w:val="28"/>
          <w:szCs w:val="28"/>
        </w:rPr>
        <w:t xml:space="preserve"> за формулою:</w:t>
      </w:r>
    </w:p>
    <w:p w14:paraId="2F52F237" w14:textId="56F459C1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center"/>
        <w:rPr>
          <w:sz w:val="28"/>
          <w:szCs w:val="28"/>
        </w:rPr>
      </w:pPr>
      <w:r w:rsidRPr="006A4BD6">
        <w:rPr>
          <w:noProof/>
          <w:sz w:val="28"/>
          <w:szCs w:val="28"/>
          <w:vertAlign w:val="subscript"/>
        </w:rPr>
        <w:drawing>
          <wp:inline distT="0" distB="0" distL="0" distR="0" wp14:anchorId="5A1D8D12" wp14:editId="417F97EE">
            <wp:extent cx="446405" cy="446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BD6">
        <w:rPr>
          <w:sz w:val="28"/>
          <w:szCs w:val="28"/>
        </w:rPr>
        <w:t>,</w:t>
      </w:r>
    </w:p>
    <w:p w14:paraId="1C22FA8E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6A4BD6">
        <w:rPr>
          <w:sz w:val="28"/>
          <w:szCs w:val="28"/>
        </w:rPr>
        <w:t>де </w:t>
      </w:r>
      <w:r w:rsidRPr="006A4BD6">
        <w:rPr>
          <w:i/>
          <w:iCs/>
          <w:sz w:val="28"/>
          <w:szCs w:val="28"/>
        </w:rPr>
        <w:t>h</w:t>
      </w:r>
      <w:r w:rsidRPr="006A4BD6">
        <w:rPr>
          <w:sz w:val="28"/>
          <w:szCs w:val="28"/>
        </w:rPr>
        <w:t xml:space="preserve"> – </w:t>
      </w:r>
      <w:proofErr w:type="spellStart"/>
      <w:r w:rsidRPr="006A4BD6">
        <w:rPr>
          <w:sz w:val="28"/>
          <w:szCs w:val="28"/>
        </w:rPr>
        <w:t>перевищення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між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опорними</w:t>
      </w:r>
      <w:proofErr w:type="spellEnd"/>
      <w:r w:rsidRPr="006A4BD6">
        <w:rPr>
          <w:sz w:val="28"/>
          <w:szCs w:val="28"/>
        </w:rPr>
        <w:t xml:space="preserve"> точками;</w:t>
      </w:r>
    </w:p>
    <w:p w14:paraId="04F2D382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6A4BD6">
        <w:rPr>
          <w:i/>
          <w:iCs/>
          <w:sz w:val="28"/>
          <w:szCs w:val="28"/>
        </w:rPr>
        <w:t>D – </w:t>
      </w:r>
      <w:proofErr w:type="spellStart"/>
      <w:r w:rsidRPr="006A4BD6">
        <w:rPr>
          <w:sz w:val="28"/>
          <w:szCs w:val="28"/>
        </w:rPr>
        <w:t>віддаль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між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опорними</w:t>
      </w:r>
      <w:proofErr w:type="spellEnd"/>
      <w:r w:rsidRPr="006A4BD6">
        <w:rPr>
          <w:sz w:val="28"/>
          <w:szCs w:val="28"/>
        </w:rPr>
        <w:t xml:space="preserve"> точками.</w:t>
      </w:r>
    </w:p>
    <w:p w14:paraId="72A8E55C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6A4BD6">
        <w:rPr>
          <w:sz w:val="28"/>
          <w:szCs w:val="28"/>
        </w:rPr>
        <w:t xml:space="preserve">При </w:t>
      </w:r>
      <w:proofErr w:type="spellStart"/>
      <w:r w:rsidRPr="006A4BD6">
        <w:rPr>
          <w:sz w:val="28"/>
          <w:szCs w:val="28"/>
        </w:rPr>
        <w:t>аналізі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всієї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системи</w:t>
      </w:r>
      <w:proofErr w:type="spellEnd"/>
      <w:r w:rsidRPr="006A4BD6">
        <w:rPr>
          <w:sz w:val="28"/>
          <w:szCs w:val="28"/>
        </w:rPr>
        <w:t xml:space="preserve"> величин і </w:t>
      </w:r>
      <w:proofErr w:type="spellStart"/>
      <w:r w:rsidRPr="006A4BD6">
        <w:rPr>
          <w:sz w:val="28"/>
          <w:szCs w:val="28"/>
        </w:rPr>
        <w:t>напрямів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ухилів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виявляють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ділянки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вулиць</w:t>
      </w:r>
      <w:proofErr w:type="spellEnd"/>
      <w:r w:rsidRPr="006A4BD6">
        <w:rPr>
          <w:sz w:val="28"/>
          <w:szCs w:val="28"/>
        </w:rPr>
        <w:t xml:space="preserve"> з </w:t>
      </w:r>
      <w:proofErr w:type="spellStart"/>
      <w:r w:rsidRPr="006A4BD6">
        <w:rPr>
          <w:sz w:val="28"/>
          <w:szCs w:val="28"/>
        </w:rPr>
        <w:t>недопустимими</w:t>
      </w:r>
      <w:proofErr w:type="spellEnd"/>
      <w:r w:rsidRPr="006A4BD6">
        <w:rPr>
          <w:sz w:val="28"/>
          <w:szCs w:val="28"/>
        </w:rPr>
        <w:t xml:space="preserve"> за нормами </w:t>
      </w:r>
      <w:proofErr w:type="spellStart"/>
      <w:r w:rsidRPr="006A4BD6">
        <w:rPr>
          <w:sz w:val="28"/>
          <w:szCs w:val="28"/>
        </w:rPr>
        <w:t>поздовжніми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ухилами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місця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протилежних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ухилів</w:t>
      </w:r>
      <w:proofErr w:type="spellEnd"/>
      <w:r w:rsidRPr="006A4BD6">
        <w:rPr>
          <w:sz w:val="28"/>
          <w:szCs w:val="28"/>
        </w:rPr>
        <w:t xml:space="preserve">, де </w:t>
      </w:r>
      <w:proofErr w:type="spellStart"/>
      <w:r w:rsidRPr="006A4BD6">
        <w:rPr>
          <w:sz w:val="28"/>
          <w:szCs w:val="28"/>
        </w:rPr>
        <w:t>збираються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поверхневі</w:t>
      </w:r>
      <w:proofErr w:type="spellEnd"/>
      <w:r w:rsidRPr="006A4BD6">
        <w:rPr>
          <w:sz w:val="28"/>
          <w:szCs w:val="28"/>
        </w:rPr>
        <w:t xml:space="preserve"> води, </w:t>
      </w:r>
      <w:proofErr w:type="spellStart"/>
      <w:r w:rsidRPr="006A4BD6">
        <w:rPr>
          <w:sz w:val="28"/>
          <w:szCs w:val="28"/>
        </w:rPr>
        <w:t>наявність</w:t>
      </w:r>
      <w:proofErr w:type="spellEnd"/>
      <w:r w:rsidRPr="006A4BD6">
        <w:rPr>
          <w:sz w:val="28"/>
          <w:szCs w:val="28"/>
        </w:rPr>
        <w:t xml:space="preserve"> ям, </w:t>
      </w:r>
      <w:proofErr w:type="spellStart"/>
      <w:r w:rsidRPr="006A4BD6">
        <w:rPr>
          <w:sz w:val="28"/>
          <w:szCs w:val="28"/>
        </w:rPr>
        <w:t>що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потребують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засипки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ґрунтом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ін</w:t>
      </w:r>
      <w:proofErr w:type="spellEnd"/>
      <w:r w:rsidRPr="006A4BD6">
        <w:rPr>
          <w:sz w:val="28"/>
          <w:szCs w:val="28"/>
        </w:rPr>
        <w:t xml:space="preserve">. За результатами </w:t>
      </w:r>
      <w:proofErr w:type="spellStart"/>
      <w:r w:rsidRPr="006A4BD6">
        <w:rPr>
          <w:sz w:val="28"/>
          <w:szCs w:val="28"/>
        </w:rPr>
        <w:t>аналізу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визначають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необхідні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зміни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шляхом </w:t>
      </w:r>
      <w:proofErr w:type="spellStart"/>
      <w:r w:rsidRPr="006A4BD6">
        <w:rPr>
          <w:sz w:val="28"/>
          <w:szCs w:val="28"/>
        </w:rPr>
        <w:t>проведення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виїмок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насипу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ґрунту</w:t>
      </w:r>
      <w:proofErr w:type="spellEnd"/>
      <w:r w:rsidRPr="006A4BD6">
        <w:rPr>
          <w:sz w:val="28"/>
          <w:szCs w:val="28"/>
        </w:rPr>
        <w:t>.</w:t>
      </w:r>
    </w:p>
    <w:p w14:paraId="5473F108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Процес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розрахунку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чергових</w:t>
      </w:r>
      <w:proofErr w:type="spellEnd"/>
      <w:r w:rsidRPr="006A4BD6">
        <w:rPr>
          <w:sz w:val="28"/>
          <w:szCs w:val="28"/>
        </w:rPr>
        <w:t xml:space="preserve"> (</w:t>
      </w:r>
      <w:proofErr w:type="spellStart"/>
      <w:r w:rsidRPr="006A4BD6">
        <w:rPr>
          <w:sz w:val="28"/>
          <w:szCs w:val="28"/>
        </w:rPr>
        <w:t>проектних</w:t>
      </w:r>
      <w:proofErr w:type="spellEnd"/>
      <w:r w:rsidRPr="006A4BD6">
        <w:rPr>
          <w:sz w:val="28"/>
          <w:szCs w:val="28"/>
        </w:rPr>
        <w:t xml:space="preserve">) </w:t>
      </w:r>
      <w:proofErr w:type="spellStart"/>
      <w:r w:rsidRPr="006A4BD6">
        <w:rPr>
          <w:sz w:val="28"/>
          <w:szCs w:val="28"/>
        </w:rPr>
        <w:t>відміток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опорних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точок</w:t>
      </w:r>
      <w:proofErr w:type="spellEnd"/>
      <w:r w:rsidRPr="006A4BD6">
        <w:rPr>
          <w:sz w:val="28"/>
          <w:szCs w:val="28"/>
        </w:rPr>
        <w:t xml:space="preserve"> – </w:t>
      </w:r>
      <w:proofErr w:type="spellStart"/>
      <w:r w:rsidRPr="006A4BD6">
        <w:rPr>
          <w:sz w:val="28"/>
          <w:szCs w:val="28"/>
        </w:rPr>
        <w:t>це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творчий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пошук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найкращого</w:t>
      </w:r>
      <w:proofErr w:type="spellEnd"/>
      <w:r w:rsidRPr="006A4BD6">
        <w:rPr>
          <w:sz w:val="28"/>
          <w:szCs w:val="28"/>
        </w:rPr>
        <w:t xml:space="preserve"> проектного </w:t>
      </w:r>
      <w:proofErr w:type="spellStart"/>
      <w:r w:rsidRPr="006A4BD6">
        <w:rPr>
          <w:sz w:val="28"/>
          <w:szCs w:val="28"/>
        </w:rPr>
        <w:t>рішення</w:t>
      </w:r>
      <w:proofErr w:type="spellEnd"/>
      <w:r w:rsidRPr="006A4BD6">
        <w:rPr>
          <w:sz w:val="28"/>
          <w:szCs w:val="28"/>
        </w:rPr>
        <w:t>.</w:t>
      </w:r>
    </w:p>
    <w:p w14:paraId="7EF2AE6C" w14:textId="2DDDE765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center"/>
        <w:rPr>
          <w:sz w:val="28"/>
          <w:szCs w:val="28"/>
        </w:rPr>
      </w:pPr>
      <w:r w:rsidRPr="006A4BD6">
        <w:rPr>
          <w:noProof/>
          <w:sz w:val="28"/>
          <w:szCs w:val="28"/>
        </w:rPr>
        <w:drawing>
          <wp:inline distT="0" distB="0" distL="0" distR="0" wp14:anchorId="3AB9DBA2" wp14:editId="72BBE8C6">
            <wp:extent cx="5380355" cy="3583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A625D" w14:textId="345903F0" w:rsidR="006A4BD6" w:rsidRDefault="006A4BD6" w:rsidP="006A4BD6">
      <w:pPr>
        <w:pStyle w:val="a3"/>
        <w:spacing w:before="0" w:beforeAutospacing="0" w:after="0" w:afterAutospacing="0"/>
        <w:ind w:left="-567" w:firstLine="283"/>
        <w:jc w:val="center"/>
        <w:rPr>
          <w:sz w:val="28"/>
          <w:szCs w:val="28"/>
        </w:rPr>
      </w:pPr>
      <w:r w:rsidRPr="006A4BD6">
        <w:rPr>
          <w:sz w:val="28"/>
          <w:szCs w:val="28"/>
        </w:rPr>
        <w:t xml:space="preserve">Рис. </w:t>
      </w:r>
      <w:r>
        <w:rPr>
          <w:sz w:val="28"/>
          <w:szCs w:val="28"/>
          <w:lang w:val="uk-UA"/>
        </w:rPr>
        <w:t>2</w:t>
      </w:r>
      <w:r w:rsidRPr="006A4BD6">
        <w:rPr>
          <w:sz w:val="28"/>
          <w:szCs w:val="28"/>
        </w:rPr>
        <w:t xml:space="preserve">. Схема вертикального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>.</w:t>
      </w:r>
    </w:p>
    <w:p w14:paraId="3DD53064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center"/>
        <w:rPr>
          <w:sz w:val="28"/>
          <w:szCs w:val="28"/>
        </w:rPr>
      </w:pPr>
    </w:p>
    <w:p w14:paraId="723C70CF" w14:textId="05E743D0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6A4BD6">
        <w:rPr>
          <w:sz w:val="28"/>
          <w:szCs w:val="28"/>
        </w:rPr>
        <w:t xml:space="preserve">Схема </w:t>
      </w:r>
      <w:proofErr w:type="spellStart"/>
      <w:r w:rsidRPr="006A4BD6">
        <w:rPr>
          <w:sz w:val="28"/>
          <w:szCs w:val="28"/>
        </w:rPr>
        <w:t>аналізу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фрагменту </w:t>
      </w:r>
      <w:proofErr w:type="spellStart"/>
      <w:r w:rsidRPr="006A4BD6">
        <w:rPr>
          <w:sz w:val="28"/>
          <w:szCs w:val="28"/>
        </w:rPr>
        <w:t>населеного</w:t>
      </w:r>
      <w:proofErr w:type="spellEnd"/>
      <w:r w:rsidRPr="006A4BD6">
        <w:rPr>
          <w:sz w:val="28"/>
          <w:szCs w:val="28"/>
        </w:rPr>
        <w:t xml:space="preserve"> пункту </w:t>
      </w:r>
      <w:proofErr w:type="spellStart"/>
      <w:r w:rsidRPr="006A4BD6">
        <w:rPr>
          <w:sz w:val="28"/>
          <w:szCs w:val="28"/>
        </w:rPr>
        <w:t>зображена</w:t>
      </w:r>
      <w:proofErr w:type="spellEnd"/>
      <w:r w:rsidRPr="006A4BD6">
        <w:rPr>
          <w:sz w:val="28"/>
          <w:szCs w:val="28"/>
        </w:rPr>
        <w:t xml:space="preserve"> на рис. </w:t>
      </w:r>
      <w:r>
        <w:rPr>
          <w:sz w:val="28"/>
          <w:szCs w:val="28"/>
          <w:lang w:val="uk-UA"/>
        </w:rPr>
        <w:t>1</w:t>
      </w:r>
      <w:r w:rsidRPr="006A4BD6">
        <w:rPr>
          <w:sz w:val="28"/>
          <w:szCs w:val="28"/>
        </w:rPr>
        <w:t xml:space="preserve">, а схема вертикального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 xml:space="preserve"> – на рис. </w:t>
      </w:r>
      <w:r>
        <w:rPr>
          <w:sz w:val="28"/>
          <w:szCs w:val="28"/>
          <w:lang w:val="uk-UA"/>
        </w:rPr>
        <w:t>2</w:t>
      </w:r>
      <w:r w:rsidRPr="006A4BD6">
        <w:rPr>
          <w:sz w:val="28"/>
          <w:szCs w:val="28"/>
        </w:rPr>
        <w:t>.</w:t>
      </w:r>
    </w:p>
    <w:p w14:paraId="13C0AC0A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Продемонструємо</w:t>
      </w:r>
      <w:proofErr w:type="spellEnd"/>
      <w:r w:rsidRPr="006A4BD6">
        <w:rPr>
          <w:sz w:val="28"/>
          <w:szCs w:val="28"/>
        </w:rPr>
        <w:t xml:space="preserve"> на </w:t>
      </w:r>
      <w:proofErr w:type="spellStart"/>
      <w:r w:rsidRPr="006A4BD6">
        <w:rPr>
          <w:sz w:val="28"/>
          <w:szCs w:val="28"/>
        </w:rPr>
        <w:t>цьому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прикладі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процес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аналізу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складання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схеми</w:t>
      </w:r>
      <w:proofErr w:type="spellEnd"/>
      <w:r w:rsidRPr="006A4BD6">
        <w:rPr>
          <w:sz w:val="28"/>
          <w:szCs w:val="28"/>
        </w:rPr>
        <w:t xml:space="preserve"> вертикального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>.</w:t>
      </w:r>
    </w:p>
    <w:p w14:paraId="6194B267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6A4BD6">
        <w:rPr>
          <w:sz w:val="28"/>
          <w:szCs w:val="28"/>
        </w:rPr>
        <w:t xml:space="preserve">Як видно на </w:t>
      </w:r>
      <w:proofErr w:type="spellStart"/>
      <w:r w:rsidRPr="006A4BD6">
        <w:rPr>
          <w:sz w:val="28"/>
          <w:szCs w:val="28"/>
        </w:rPr>
        <w:t>схемі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аналізу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, на </w:t>
      </w:r>
      <w:proofErr w:type="spellStart"/>
      <w:r w:rsidRPr="006A4BD6">
        <w:rPr>
          <w:sz w:val="28"/>
          <w:szCs w:val="28"/>
        </w:rPr>
        <w:t>вулицях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населеного</w:t>
      </w:r>
      <w:proofErr w:type="spellEnd"/>
      <w:r w:rsidRPr="006A4BD6">
        <w:rPr>
          <w:sz w:val="28"/>
          <w:szCs w:val="28"/>
        </w:rPr>
        <w:t xml:space="preserve"> пункту в точках 2,5 і 10 </w:t>
      </w:r>
      <w:proofErr w:type="spellStart"/>
      <w:r w:rsidRPr="006A4BD6">
        <w:rPr>
          <w:sz w:val="28"/>
          <w:szCs w:val="28"/>
        </w:rPr>
        <w:t>мають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пониження</w:t>
      </w:r>
      <w:proofErr w:type="spellEnd"/>
      <w:r w:rsidRPr="006A4BD6">
        <w:rPr>
          <w:sz w:val="28"/>
          <w:szCs w:val="28"/>
        </w:rPr>
        <w:t xml:space="preserve">, де </w:t>
      </w:r>
      <w:proofErr w:type="spellStart"/>
      <w:r w:rsidRPr="006A4BD6">
        <w:rPr>
          <w:sz w:val="28"/>
          <w:szCs w:val="28"/>
        </w:rPr>
        <w:t>будуть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збиратися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атмосферні</w:t>
      </w:r>
      <w:proofErr w:type="spellEnd"/>
      <w:r w:rsidRPr="006A4BD6">
        <w:rPr>
          <w:sz w:val="28"/>
          <w:szCs w:val="28"/>
        </w:rPr>
        <w:t xml:space="preserve"> води. В точках 5 і 10 </w:t>
      </w:r>
      <w:proofErr w:type="spellStart"/>
      <w:r w:rsidRPr="006A4BD6">
        <w:rPr>
          <w:sz w:val="28"/>
          <w:szCs w:val="28"/>
        </w:rPr>
        <w:t>цей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перелік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покращується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зміною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напрямів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ухилів</w:t>
      </w:r>
      <w:proofErr w:type="spellEnd"/>
      <w:r w:rsidRPr="006A4BD6">
        <w:rPr>
          <w:sz w:val="28"/>
          <w:szCs w:val="28"/>
        </w:rPr>
        <w:t xml:space="preserve">. </w:t>
      </w:r>
      <w:proofErr w:type="spellStart"/>
      <w:r w:rsidRPr="006A4BD6">
        <w:rPr>
          <w:sz w:val="28"/>
          <w:szCs w:val="28"/>
        </w:rPr>
        <w:t>Замість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зустрічних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ухилів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lastRenderedPageBreak/>
        <w:t>проектуються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єдині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від</w:t>
      </w:r>
      <w:proofErr w:type="spellEnd"/>
      <w:r w:rsidRPr="006A4BD6">
        <w:rPr>
          <w:sz w:val="28"/>
          <w:szCs w:val="28"/>
        </w:rPr>
        <w:t xml:space="preserve"> точки 4 до точки 6 і до точки 9. Величина </w:t>
      </w:r>
      <w:proofErr w:type="spellStart"/>
      <w:r w:rsidRPr="006A4BD6">
        <w:rPr>
          <w:sz w:val="28"/>
          <w:szCs w:val="28"/>
        </w:rPr>
        <w:t>ухилів</w:t>
      </w:r>
      <w:proofErr w:type="spellEnd"/>
      <w:r w:rsidRPr="006A4BD6">
        <w:rPr>
          <w:sz w:val="28"/>
          <w:szCs w:val="28"/>
        </w:rPr>
        <w:t xml:space="preserve"> 5‰. У </w:t>
      </w:r>
      <w:proofErr w:type="spellStart"/>
      <w:r w:rsidRPr="006A4BD6">
        <w:rPr>
          <w:sz w:val="28"/>
          <w:szCs w:val="28"/>
        </w:rPr>
        <w:t>зв’язку</w:t>
      </w:r>
      <w:proofErr w:type="spellEnd"/>
      <w:r w:rsidRPr="006A4BD6">
        <w:rPr>
          <w:sz w:val="28"/>
          <w:szCs w:val="28"/>
        </w:rPr>
        <w:t xml:space="preserve"> з </w:t>
      </w:r>
      <w:proofErr w:type="spellStart"/>
      <w:r w:rsidRPr="006A4BD6">
        <w:rPr>
          <w:sz w:val="28"/>
          <w:szCs w:val="28"/>
        </w:rPr>
        <w:t>цим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відповідно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змінюються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висотні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відмітки</w:t>
      </w:r>
      <w:proofErr w:type="spellEnd"/>
      <w:r w:rsidRPr="006A4BD6">
        <w:rPr>
          <w:sz w:val="28"/>
          <w:szCs w:val="28"/>
        </w:rPr>
        <w:t xml:space="preserve"> в точках 6 і 9.</w:t>
      </w:r>
    </w:p>
    <w:p w14:paraId="208D1128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 w:rsidRPr="006A4BD6">
        <w:rPr>
          <w:sz w:val="28"/>
          <w:szCs w:val="28"/>
        </w:rPr>
        <w:t>Випуск</w:t>
      </w:r>
      <w:proofErr w:type="spellEnd"/>
      <w:r w:rsidRPr="006A4BD6">
        <w:rPr>
          <w:sz w:val="28"/>
          <w:szCs w:val="28"/>
        </w:rPr>
        <w:t xml:space="preserve"> води </w:t>
      </w:r>
      <w:proofErr w:type="spellStart"/>
      <w:r w:rsidRPr="006A4BD6">
        <w:rPr>
          <w:sz w:val="28"/>
          <w:szCs w:val="28"/>
        </w:rPr>
        <w:t>із</w:t>
      </w:r>
      <w:proofErr w:type="spellEnd"/>
      <w:r w:rsidRPr="006A4BD6">
        <w:rPr>
          <w:sz w:val="28"/>
          <w:szCs w:val="28"/>
        </w:rPr>
        <w:t xml:space="preserve"> точки 2 </w:t>
      </w:r>
      <w:proofErr w:type="spellStart"/>
      <w:r w:rsidRPr="006A4BD6">
        <w:rPr>
          <w:sz w:val="28"/>
          <w:szCs w:val="28"/>
        </w:rPr>
        <w:t>доцільно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передбачити</w:t>
      </w:r>
      <w:proofErr w:type="spellEnd"/>
      <w:r w:rsidRPr="006A4BD6">
        <w:rPr>
          <w:sz w:val="28"/>
          <w:szCs w:val="28"/>
        </w:rPr>
        <w:t xml:space="preserve"> через квартал в точку 11. По </w:t>
      </w:r>
      <w:proofErr w:type="spellStart"/>
      <w:r w:rsidRPr="006A4BD6">
        <w:rPr>
          <w:sz w:val="28"/>
          <w:szCs w:val="28"/>
        </w:rPr>
        <w:t>лінії</w:t>
      </w:r>
      <w:proofErr w:type="spellEnd"/>
      <w:r w:rsidRPr="006A4BD6">
        <w:rPr>
          <w:sz w:val="28"/>
          <w:szCs w:val="28"/>
        </w:rPr>
        <w:t xml:space="preserve"> 2-11 </w:t>
      </w:r>
      <w:proofErr w:type="spellStart"/>
      <w:r w:rsidRPr="006A4BD6">
        <w:rPr>
          <w:sz w:val="28"/>
          <w:szCs w:val="28"/>
        </w:rPr>
        <w:t>можна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запроектувати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проїзд</w:t>
      </w:r>
      <w:proofErr w:type="spellEnd"/>
      <w:r w:rsidRPr="006A4BD6">
        <w:rPr>
          <w:sz w:val="28"/>
          <w:szCs w:val="28"/>
        </w:rPr>
        <w:t xml:space="preserve"> з лотками, </w:t>
      </w:r>
      <w:proofErr w:type="spellStart"/>
      <w:r w:rsidRPr="006A4BD6">
        <w:rPr>
          <w:sz w:val="28"/>
          <w:szCs w:val="28"/>
        </w:rPr>
        <w:t>або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прокласти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перепускну</w:t>
      </w:r>
      <w:proofErr w:type="spellEnd"/>
      <w:r w:rsidRPr="006A4BD6">
        <w:rPr>
          <w:sz w:val="28"/>
          <w:szCs w:val="28"/>
        </w:rPr>
        <w:t xml:space="preserve"> трубу. </w:t>
      </w:r>
      <w:proofErr w:type="spellStart"/>
      <w:r w:rsidRPr="006A4BD6">
        <w:rPr>
          <w:sz w:val="28"/>
          <w:szCs w:val="28"/>
        </w:rPr>
        <w:t>Ухил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цієї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лінії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складає</w:t>
      </w:r>
      <w:proofErr w:type="spellEnd"/>
      <w:r w:rsidRPr="006A4BD6">
        <w:rPr>
          <w:sz w:val="28"/>
          <w:szCs w:val="28"/>
        </w:rPr>
        <w:t xml:space="preserve"> 8‰, </w:t>
      </w:r>
      <w:proofErr w:type="spellStart"/>
      <w:r w:rsidRPr="006A4BD6">
        <w:rPr>
          <w:sz w:val="28"/>
          <w:szCs w:val="28"/>
        </w:rPr>
        <w:t>між</w:t>
      </w:r>
      <w:proofErr w:type="spellEnd"/>
      <w:r w:rsidRPr="006A4BD6">
        <w:rPr>
          <w:sz w:val="28"/>
          <w:szCs w:val="28"/>
        </w:rPr>
        <w:t xml:space="preserve"> точками 1 і 2 </w:t>
      </w:r>
      <w:proofErr w:type="spellStart"/>
      <w:r w:rsidRPr="006A4BD6">
        <w:rPr>
          <w:sz w:val="28"/>
          <w:szCs w:val="28"/>
        </w:rPr>
        <w:t>ухил</w:t>
      </w:r>
      <w:proofErr w:type="spellEnd"/>
      <w:r w:rsidRPr="006A4BD6">
        <w:rPr>
          <w:sz w:val="28"/>
          <w:szCs w:val="28"/>
        </w:rPr>
        <w:t xml:space="preserve"> 3‰ є </w:t>
      </w:r>
      <w:proofErr w:type="spellStart"/>
      <w:r w:rsidRPr="006A4BD6">
        <w:rPr>
          <w:sz w:val="28"/>
          <w:szCs w:val="28"/>
        </w:rPr>
        <w:t>недостатній</w:t>
      </w:r>
      <w:proofErr w:type="spellEnd"/>
      <w:r w:rsidRPr="006A4BD6">
        <w:rPr>
          <w:sz w:val="28"/>
          <w:szCs w:val="28"/>
        </w:rPr>
        <w:t xml:space="preserve">, тому для </w:t>
      </w:r>
      <w:proofErr w:type="spellStart"/>
      <w:r w:rsidRPr="006A4BD6">
        <w:rPr>
          <w:sz w:val="28"/>
          <w:szCs w:val="28"/>
        </w:rPr>
        <w:t>лінії</w:t>
      </w:r>
      <w:proofErr w:type="spellEnd"/>
      <w:r w:rsidRPr="006A4BD6">
        <w:rPr>
          <w:sz w:val="28"/>
          <w:szCs w:val="28"/>
        </w:rPr>
        <w:t xml:space="preserve"> 1-2 </w:t>
      </w:r>
      <w:proofErr w:type="spellStart"/>
      <w:r w:rsidRPr="006A4BD6">
        <w:rPr>
          <w:sz w:val="28"/>
          <w:szCs w:val="28"/>
        </w:rPr>
        <w:t>визначено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нове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перевищення</w:t>
      </w:r>
      <w:proofErr w:type="spellEnd"/>
      <w:r w:rsidRPr="006A4BD6">
        <w:rPr>
          <w:sz w:val="28"/>
          <w:szCs w:val="28"/>
        </w:rPr>
        <w:t xml:space="preserve"> за </w:t>
      </w:r>
      <w:proofErr w:type="spellStart"/>
      <w:r w:rsidRPr="006A4BD6">
        <w:rPr>
          <w:sz w:val="28"/>
          <w:szCs w:val="28"/>
        </w:rPr>
        <w:t>формулою</w:t>
      </w:r>
      <w:r w:rsidRPr="006A4BD6">
        <w:rPr>
          <w:i/>
          <w:iCs/>
          <w:sz w:val="28"/>
          <w:szCs w:val="28"/>
        </w:rPr>
        <w:t>h</w:t>
      </w:r>
      <w:proofErr w:type="spellEnd"/>
      <w:r w:rsidRPr="006A4BD6">
        <w:rPr>
          <w:i/>
          <w:iCs/>
          <w:sz w:val="28"/>
          <w:szCs w:val="28"/>
        </w:rPr>
        <w:t>=</w:t>
      </w:r>
      <w:proofErr w:type="spellStart"/>
      <w:r w:rsidRPr="006A4BD6">
        <w:rPr>
          <w:i/>
          <w:iCs/>
          <w:sz w:val="28"/>
          <w:szCs w:val="28"/>
        </w:rPr>
        <w:t>i∙D</w:t>
      </w:r>
      <w:proofErr w:type="spellEnd"/>
      <w:r w:rsidRPr="006A4BD6">
        <w:rPr>
          <w:i/>
          <w:iCs/>
          <w:sz w:val="28"/>
          <w:szCs w:val="28"/>
        </w:rPr>
        <w:t>,</w:t>
      </w:r>
      <w:r w:rsidRPr="006A4BD6">
        <w:rPr>
          <w:sz w:val="28"/>
          <w:szCs w:val="28"/>
        </w:rPr>
        <w:t xml:space="preserve"> де і - </w:t>
      </w:r>
      <w:proofErr w:type="spellStart"/>
      <w:r w:rsidRPr="006A4BD6">
        <w:rPr>
          <w:sz w:val="28"/>
          <w:szCs w:val="28"/>
        </w:rPr>
        <w:t>новий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проектний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ухил</w:t>
      </w:r>
      <w:proofErr w:type="spellEnd"/>
      <w:r w:rsidRPr="006A4BD6">
        <w:rPr>
          <w:sz w:val="28"/>
          <w:szCs w:val="28"/>
        </w:rPr>
        <w:t xml:space="preserve">, </w:t>
      </w:r>
      <w:proofErr w:type="spellStart"/>
      <w:r w:rsidRPr="006A4BD6">
        <w:rPr>
          <w:sz w:val="28"/>
          <w:szCs w:val="28"/>
        </w:rPr>
        <w:t>що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дорівнює</w:t>
      </w:r>
      <w:proofErr w:type="spellEnd"/>
      <w:r w:rsidRPr="006A4BD6">
        <w:rPr>
          <w:sz w:val="28"/>
          <w:szCs w:val="28"/>
        </w:rPr>
        <w:t xml:space="preserve"> 8‰, </w:t>
      </w:r>
      <w:proofErr w:type="spellStart"/>
      <w:r w:rsidRPr="006A4BD6">
        <w:rPr>
          <w:sz w:val="28"/>
          <w:szCs w:val="28"/>
        </w:rPr>
        <w:t>відповідно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змінена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проектна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відмітка</w:t>
      </w:r>
      <w:proofErr w:type="spellEnd"/>
      <w:r w:rsidRPr="006A4BD6">
        <w:rPr>
          <w:sz w:val="28"/>
          <w:szCs w:val="28"/>
        </w:rPr>
        <w:t xml:space="preserve"> в </w:t>
      </w:r>
      <w:proofErr w:type="spellStart"/>
      <w:r w:rsidRPr="006A4BD6">
        <w:rPr>
          <w:sz w:val="28"/>
          <w:szCs w:val="28"/>
        </w:rPr>
        <w:t>точці</w:t>
      </w:r>
      <w:proofErr w:type="spellEnd"/>
      <w:r w:rsidRPr="006A4BD6">
        <w:rPr>
          <w:sz w:val="28"/>
          <w:szCs w:val="28"/>
        </w:rPr>
        <w:t xml:space="preserve"> 1.</w:t>
      </w:r>
    </w:p>
    <w:p w14:paraId="5ED7E90C" w14:textId="77777777" w:rsidR="006A4BD6" w:rsidRPr="006A4BD6" w:rsidRDefault="006A4BD6" w:rsidP="006A4BD6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6A4BD6">
        <w:rPr>
          <w:sz w:val="28"/>
          <w:szCs w:val="28"/>
        </w:rPr>
        <w:t xml:space="preserve">За результатами </w:t>
      </w:r>
      <w:proofErr w:type="spellStart"/>
      <w:r w:rsidRPr="006A4BD6">
        <w:rPr>
          <w:sz w:val="28"/>
          <w:szCs w:val="28"/>
        </w:rPr>
        <w:t>аналізу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рельєфу</w:t>
      </w:r>
      <w:proofErr w:type="spellEnd"/>
      <w:r w:rsidRPr="006A4BD6">
        <w:rPr>
          <w:sz w:val="28"/>
          <w:szCs w:val="28"/>
        </w:rPr>
        <w:t xml:space="preserve"> і </w:t>
      </w:r>
      <w:proofErr w:type="spellStart"/>
      <w:r w:rsidRPr="006A4BD6">
        <w:rPr>
          <w:sz w:val="28"/>
          <w:szCs w:val="28"/>
        </w:rPr>
        <w:t>розрахунків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складається</w:t>
      </w:r>
      <w:proofErr w:type="spellEnd"/>
      <w:r w:rsidRPr="006A4BD6">
        <w:rPr>
          <w:sz w:val="28"/>
          <w:szCs w:val="28"/>
        </w:rPr>
        <w:t xml:space="preserve"> (</w:t>
      </w:r>
      <w:proofErr w:type="spellStart"/>
      <w:r w:rsidRPr="006A4BD6">
        <w:rPr>
          <w:sz w:val="28"/>
          <w:szCs w:val="28"/>
        </w:rPr>
        <w:t>розробляється</w:t>
      </w:r>
      <w:proofErr w:type="spellEnd"/>
      <w:r w:rsidRPr="006A4BD6">
        <w:rPr>
          <w:sz w:val="28"/>
          <w:szCs w:val="28"/>
        </w:rPr>
        <w:t xml:space="preserve">) </w:t>
      </w:r>
      <w:proofErr w:type="spellStart"/>
      <w:r w:rsidRPr="006A4BD6">
        <w:rPr>
          <w:sz w:val="28"/>
          <w:szCs w:val="28"/>
        </w:rPr>
        <w:t>креслення</w:t>
      </w:r>
      <w:proofErr w:type="spellEnd"/>
      <w:r w:rsidRPr="006A4BD6">
        <w:rPr>
          <w:sz w:val="28"/>
          <w:szCs w:val="28"/>
        </w:rPr>
        <w:t xml:space="preserve"> </w:t>
      </w:r>
      <w:proofErr w:type="spellStart"/>
      <w:r w:rsidRPr="006A4BD6">
        <w:rPr>
          <w:sz w:val="28"/>
          <w:szCs w:val="28"/>
        </w:rPr>
        <w:t>схеми</w:t>
      </w:r>
      <w:proofErr w:type="spellEnd"/>
      <w:r w:rsidRPr="006A4BD6">
        <w:rPr>
          <w:sz w:val="28"/>
          <w:szCs w:val="28"/>
        </w:rPr>
        <w:t xml:space="preserve"> вертикального </w:t>
      </w:r>
      <w:proofErr w:type="spellStart"/>
      <w:r w:rsidRPr="006A4BD6">
        <w:rPr>
          <w:sz w:val="28"/>
          <w:szCs w:val="28"/>
        </w:rPr>
        <w:t>планування</w:t>
      </w:r>
      <w:proofErr w:type="spellEnd"/>
      <w:r w:rsidRPr="006A4BD6">
        <w:rPr>
          <w:sz w:val="28"/>
          <w:szCs w:val="28"/>
        </w:rPr>
        <w:t>.</w:t>
      </w:r>
    </w:p>
    <w:p w14:paraId="49E71BF8" w14:textId="77777777" w:rsidR="00C521E5" w:rsidRPr="006A4BD6" w:rsidRDefault="00C521E5" w:rsidP="006A4BD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C521E5" w:rsidRPr="006A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8"/>
    <w:rsid w:val="004509E0"/>
    <w:rsid w:val="006A4BD6"/>
    <w:rsid w:val="007C5BF4"/>
    <w:rsid w:val="00833038"/>
    <w:rsid w:val="0096768F"/>
    <w:rsid w:val="00B9403B"/>
    <w:rsid w:val="00C521E5"/>
    <w:rsid w:val="00E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51CDDB"/>
  <w15:chartTrackingRefBased/>
  <w15:docId w15:val="{E1C73EDE-14CE-4323-A035-46A99F2C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0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57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5368</Words>
  <Characters>30601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2022-08-26T16:57:00Z</dcterms:created>
  <dcterms:modified xsi:type="dcterms:W3CDTF">2023-03-12T15:37:00Z</dcterms:modified>
</cp:coreProperties>
</file>