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680E4" w14:textId="0E6D222D" w:rsidR="0096768F" w:rsidRPr="003706D2" w:rsidRDefault="006F18FC" w:rsidP="006F18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6D2">
        <w:rPr>
          <w:rFonts w:ascii="Times New Roman" w:hAnsi="Times New Roman" w:cs="Times New Roman"/>
          <w:sz w:val="28"/>
          <w:szCs w:val="28"/>
          <w:lang w:val="uk-UA"/>
        </w:rPr>
        <w:t>Лекція 8</w:t>
      </w:r>
    </w:p>
    <w:p w14:paraId="174EE23E" w14:textId="2BF30158" w:rsidR="006F18FC" w:rsidRPr="003706D2" w:rsidRDefault="006F18FC" w:rsidP="006F18FC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706D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та культурно-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706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13F6B" w:rsidRPr="003706D2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в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населеному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4C3E2" w14:textId="38421256" w:rsidR="006F18FC" w:rsidRPr="003706D2" w:rsidRDefault="006F18FC" w:rsidP="006F18FC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6D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при</w:t>
      </w:r>
      <w:r w:rsidRPr="003706D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проектуванні</w:t>
      </w:r>
      <w:proofErr w:type="spellEnd"/>
      <w:r w:rsidRPr="003706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3706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кварталів</w:t>
      </w:r>
      <w:proofErr w:type="spellEnd"/>
      <w:r w:rsidR="003B6367" w:rsidRPr="003706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C63C84" w14:textId="73F631DC" w:rsidR="003B6367" w:rsidRDefault="003B6367" w:rsidP="006F18FC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0A258" w14:textId="3669AA80" w:rsidR="00F17117" w:rsidRDefault="00F17117" w:rsidP="00F17117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1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proofErr w:type="spellStart"/>
      <w:r w:rsidRPr="00F17117">
        <w:rPr>
          <w:rFonts w:ascii="Times New Roman" w:hAnsi="Times New Roman" w:cs="Times New Roman"/>
          <w:b/>
          <w:bCs/>
          <w:sz w:val="28"/>
          <w:szCs w:val="28"/>
        </w:rPr>
        <w:t>Розрахунок</w:t>
      </w:r>
      <w:proofErr w:type="spellEnd"/>
      <w:r w:rsidRPr="00F17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117">
        <w:rPr>
          <w:rFonts w:ascii="Times New Roman" w:hAnsi="Times New Roman" w:cs="Times New Roman"/>
          <w:b/>
          <w:bCs/>
          <w:sz w:val="28"/>
          <w:szCs w:val="28"/>
        </w:rPr>
        <w:t>житла</w:t>
      </w:r>
      <w:proofErr w:type="spellEnd"/>
      <w:r w:rsidRPr="00F17117">
        <w:rPr>
          <w:rFonts w:ascii="Times New Roman" w:hAnsi="Times New Roman" w:cs="Times New Roman"/>
          <w:b/>
          <w:bCs/>
          <w:sz w:val="28"/>
          <w:szCs w:val="28"/>
        </w:rPr>
        <w:t xml:space="preserve"> та культурно-</w:t>
      </w:r>
      <w:proofErr w:type="spellStart"/>
      <w:r w:rsidRPr="00F17117">
        <w:rPr>
          <w:rFonts w:ascii="Times New Roman" w:hAnsi="Times New Roman" w:cs="Times New Roman"/>
          <w:b/>
          <w:bCs/>
          <w:sz w:val="28"/>
          <w:szCs w:val="28"/>
        </w:rPr>
        <w:t>побутового</w:t>
      </w:r>
      <w:proofErr w:type="spellEnd"/>
      <w:r w:rsidRPr="00F17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117">
        <w:rPr>
          <w:rFonts w:ascii="Times New Roman" w:hAnsi="Times New Roman" w:cs="Times New Roman"/>
          <w:b/>
          <w:bCs/>
          <w:sz w:val="28"/>
          <w:szCs w:val="28"/>
        </w:rPr>
        <w:t>будівництва</w:t>
      </w:r>
      <w:proofErr w:type="spellEnd"/>
      <w:r w:rsidRPr="00F1711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17117">
        <w:rPr>
          <w:rFonts w:ascii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в </w:t>
      </w:r>
      <w:proofErr w:type="spellStart"/>
      <w:r w:rsidRPr="00F17117">
        <w:rPr>
          <w:rFonts w:ascii="Times New Roman" w:hAnsi="Times New Roman" w:cs="Times New Roman"/>
          <w:b/>
          <w:bCs/>
          <w:sz w:val="28"/>
          <w:szCs w:val="28"/>
        </w:rPr>
        <w:t>сільському</w:t>
      </w:r>
      <w:proofErr w:type="spellEnd"/>
      <w:r w:rsidRPr="00F17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117">
        <w:rPr>
          <w:rFonts w:ascii="Times New Roman" w:hAnsi="Times New Roman" w:cs="Times New Roman"/>
          <w:b/>
          <w:bCs/>
          <w:sz w:val="28"/>
          <w:szCs w:val="28"/>
        </w:rPr>
        <w:t>населеному</w:t>
      </w:r>
      <w:proofErr w:type="spellEnd"/>
      <w:r w:rsidRPr="00F17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7117">
        <w:rPr>
          <w:rFonts w:ascii="Times New Roman" w:hAnsi="Times New Roman" w:cs="Times New Roman"/>
          <w:b/>
          <w:bCs/>
          <w:sz w:val="28"/>
          <w:szCs w:val="28"/>
        </w:rPr>
        <w:t>пункті</w:t>
      </w:r>
      <w:proofErr w:type="spellEnd"/>
      <w:r w:rsidRPr="00F1711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EBEBD4E" w14:textId="77777777" w:rsidR="00FA2F46" w:rsidRPr="00F17117" w:rsidRDefault="00FA2F46" w:rsidP="00F17117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B3A62" w14:textId="77777777" w:rsidR="00FA2F46" w:rsidRPr="00FA2F46" w:rsidRDefault="00FA2F46" w:rsidP="00FA2F46">
      <w:p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пунктах повинен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потребу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побутовому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EBB418" w14:textId="77777777" w:rsidR="00FA2F46" w:rsidRPr="00FA2F46" w:rsidRDefault="00FA2F46" w:rsidP="00FA2F46">
      <w:p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торговельний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дозвільний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комунально-побутові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користується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пункту.</w:t>
      </w:r>
    </w:p>
    <w:p w14:paraId="2168C52D" w14:textId="77777777" w:rsidR="00FA2F46" w:rsidRPr="00FA2F46" w:rsidRDefault="00FA2F46" w:rsidP="00FA2F46">
      <w:p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спеціалізацією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видами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4B611BA0" w14:textId="08D084B2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дошкільні</w:t>
      </w:r>
      <w:proofErr w:type="spellEnd"/>
    </w:p>
    <w:p w14:paraId="676D9F84" w14:textId="430DF082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шкільні</w:t>
      </w:r>
      <w:proofErr w:type="spellEnd"/>
    </w:p>
    <w:p w14:paraId="738D7559" w14:textId="427F4F7F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</w:p>
    <w:p w14:paraId="14DBD4D7" w14:textId="291982C5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</w:p>
    <w:p w14:paraId="5080F92C" w14:textId="52BA8BEB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комунально-побутові</w:t>
      </w:r>
      <w:proofErr w:type="spellEnd"/>
    </w:p>
    <w:p w14:paraId="7EE3E83E" w14:textId="418D5A97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</w:p>
    <w:p w14:paraId="08519BDF" w14:textId="66D933D0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торговельно-розподільчі</w:t>
      </w:r>
      <w:proofErr w:type="spellEnd"/>
    </w:p>
    <w:p w14:paraId="3DD56B8A" w14:textId="35A58E0D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адміністративно-господарчі</w:t>
      </w:r>
      <w:proofErr w:type="spellEnd"/>
    </w:p>
    <w:p w14:paraId="3F8B6972" w14:textId="77777777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територіальним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охопленням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62590BDC" w14:textId="688C140A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обслуговують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декількох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</w:p>
    <w:p w14:paraId="0D28E1C6" w14:textId="60E9C57C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обслуговують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</w:t>
      </w:r>
    </w:p>
    <w:p w14:paraId="746A1D27" w14:textId="034A0E93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обслуговують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</w:p>
    <w:p w14:paraId="25ED5229" w14:textId="77777777" w:rsidR="00FA2F46" w:rsidRPr="00FA2F46" w:rsidRDefault="00FA2F46" w:rsidP="00FA2F46">
      <w:pPr>
        <w:pStyle w:val="a5"/>
        <w:numPr>
          <w:ilvl w:val="0"/>
          <w:numId w:val="5"/>
        </w:num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</w:p>
    <w:p w14:paraId="321EAFD1" w14:textId="7B10AD34" w:rsidR="00FA2F46" w:rsidRPr="00FA2F46" w:rsidRDefault="00FA2F46" w:rsidP="00FA2F46">
      <w:p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Вмістимість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потужність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оперативних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розрахунках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1000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регламентуються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4BC50F" w14:textId="77777777" w:rsidR="00FA2F46" w:rsidRPr="00FA2F46" w:rsidRDefault="00FA2F46" w:rsidP="00FA2F46">
      <w:p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з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врахуванням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сусідніх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побуткомбінат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1BD3AC04" w14:textId="77777777" w:rsidR="00FA2F46" w:rsidRPr="00FA2F46" w:rsidRDefault="00FA2F46" w:rsidP="00FA2F46">
      <w:p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Прийнятий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вмістимості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них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заносяться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таблицю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заносяться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таблицю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5 .</w:t>
      </w:r>
      <w:proofErr w:type="gramEnd"/>
    </w:p>
    <w:p w14:paraId="227AC795" w14:textId="77777777" w:rsidR="00FA2F46" w:rsidRPr="00FA2F46" w:rsidRDefault="00FA2F46" w:rsidP="00FA2F46">
      <w:p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Вмістимість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</w:t>
      </w:r>
      <w:bookmarkStart w:id="0" w:name="_GoBack"/>
      <w:bookmarkEnd w:id="0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1000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рекомендаціями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ДБН.</w:t>
      </w:r>
    </w:p>
    <w:p w14:paraId="5B476676" w14:textId="0C78B755" w:rsidR="00FA2F46" w:rsidRPr="003B4880" w:rsidRDefault="00FA2F46" w:rsidP="00FA2F46">
      <w:pPr>
        <w:spacing w:after="30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наведено в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(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(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зведений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культурно-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FA2F4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5D9D043" w14:textId="77777777" w:rsidR="003B4880" w:rsidRPr="003B4880" w:rsidRDefault="003B4880" w:rsidP="003B4880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</w:pPr>
      <w:proofErr w:type="spellStart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>Розрахунок</w:t>
      </w:r>
      <w:proofErr w:type="spellEnd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 xml:space="preserve"> культурно-</w:t>
      </w:r>
      <w:proofErr w:type="spellStart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>побутового</w:t>
      </w:r>
      <w:proofErr w:type="spellEnd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 xml:space="preserve"> </w:t>
      </w:r>
      <w:proofErr w:type="spellStart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>будівництва</w:t>
      </w:r>
      <w:proofErr w:type="spellEnd"/>
    </w:p>
    <w:tbl>
      <w:tblPr>
        <w:tblW w:w="10490" w:type="dxa"/>
        <w:tblCellSpacing w:w="15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2784"/>
        <w:gridCol w:w="1526"/>
        <w:gridCol w:w="1451"/>
        <w:gridCol w:w="1572"/>
        <w:gridCol w:w="1871"/>
        <w:gridCol w:w="941"/>
      </w:tblGrid>
      <w:tr w:rsidR="003B4880" w:rsidRPr="003B4880" w14:paraId="0D36FDEB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76976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D35CCDF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0194A1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(ОВ)</w:t>
            </w:r>
          </w:p>
        </w:tc>
        <w:tc>
          <w:tcPr>
            <w:tcW w:w="0" w:type="auto"/>
            <w:vAlign w:val="center"/>
            <w:hideMark/>
          </w:tcPr>
          <w:p w14:paraId="1BAFA3A8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ОВ на 1000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261C3A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</w:t>
            </w:r>
          </w:p>
        </w:tc>
        <w:tc>
          <w:tcPr>
            <w:tcW w:w="0" w:type="auto"/>
            <w:vAlign w:val="center"/>
            <w:hideMark/>
          </w:tcPr>
          <w:p w14:paraId="1D15BFC1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</w:t>
            </w:r>
          </w:p>
        </w:tc>
        <w:tc>
          <w:tcPr>
            <w:tcW w:w="896" w:type="dxa"/>
            <w:vAlign w:val="center"/>
            <w:hideMark/>
          </w:tcPr>
          <w:p w14:paraId="666A0B0E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</w:t>
            </w:r>
          </w:p>
        </w:tc>
      </w:tr>
      <w:tr w:rsidR="003B4880" w:rsidRPr="003B4880" w14:paraId="222D8221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7CE15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69A776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4A3DA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2CC73A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E3CA72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DA511B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vAlign w:val="center"/>
            <w:hideMark/>
          </w:tcPr>
          <w:p w14:paraId="39663C8B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4880" w:rsidRPr="003B4880" w14:paraId="23809F7D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5F977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A01D06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Адміністративний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86645E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C5474A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4C8CE4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C5EAB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1FCA007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57A38BF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3321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5642C0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0" w:type="auto"/>
            <w:vAlign w:val="center"/>
            <w:hideMark/>
          </w:tcPr>
          <w:p w14:paraId="064B8CC8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647DA5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934E42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20A0D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67C897F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06E733C3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FA758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239808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Дім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Просвіти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8C6C8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2C808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B4BED8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3FAC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7718A10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4DD4D6A2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9709E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2240C1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Дит. садок</w:t>
            </w:r>
          </w:p>
        </w:tc>
        <w:tc>
          <w:tcPr>
            <w:tcW w:w="0" w:type="auto"/>
            <w:vAlign w:val="center"/>
            <w:hideMark/>
          </w:tcPr>
          <w:p w14:paraId="4C1B008F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F13CA0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BAF955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006AC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5D0CC45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4F943BFF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AD1F3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9553F5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Торговий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0" w:type="auto"/>
            <w:vAlign w:val="center"/>
            <w:hideMark/>
          </w:tcPr>
          <w:p w14:paraId="5BC2C16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839A9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CE4F7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CBACC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59AFFD4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56CF3D57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E901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037B6049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Продовольчий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</w:t>
            </w:r>
          </w:p>
        </w:tc>
        <w:tc>
          <w:tcPr>
            <w:tcW w:w="0" w:type="auto"/>
            <w:vAlign w:val="center"/>
            <w:hideMark/>
          </w:tcPr>
          <w:p w14:paraId="2F298964" w14:textId="77777777" w:rsidR="003B4880" w:rsidRPr="003B4880" w:rsidRDefault="003B4880" w:rsidP="003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торг.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8895FF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DEF3B3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BF962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19F13D7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329A0A99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12744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7AFC54C9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промтоварів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4D913D" w14:textId="77777777" w:rsidR="003B4880" w:rsidRPr="003B4880" w:rsidRDefault="003B4880" w:rsidP="003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торг.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C9B27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BD163BD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EC2CF1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1184E6E1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0C76291D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566A6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14:paraId="308FCAB1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Їдальня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-кафе</w:t>
            </w:r>
          </w:p>
        </w:tc>
        <w:tc>
          <w:tcPr>
            <w:tcW w:w="0" w:type="auto"/>
            <w:vAlign w:val="center"/>
            <w:hideMark/>
          </w:tcPr>
          <w:p w14:paraId="175FC0B8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711335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FFAB33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BA327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752E4E1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4F8DC93E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3FAE7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14:paraId="158D40B2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Комбінат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F798CB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Робоче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DA36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6353D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94C86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3EDA161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5FEC3D0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E306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14:paraId="5743DA4D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1A919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51257A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B17934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7B1D5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482030D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26A8F52D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AB7E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5E4C12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.–</w:t>
            </w:r>
            <w:proofErr w:type="spellStart"/>
            <w:proofErr w:type="gram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пункт</w:t>
            </w:r>
          </w:p>
        </w:tc>
        <w:tc>
          <w:tcPr>
            <w:tcW w:w="0" w:type="auto"/>
            <w:vAlign w:val="center"/>
            <w:hideMark/>
          </w:tcPr>
          <w:p w14:paraId="1D9933FF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6C6ED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E5FB1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DE5CE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419FB32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5579E57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28B8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A406FA6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Церква</w:t>
            </w:r>
          </w:p>
        </w:tc>
        <w:tc>
          <w:tcPr>
            <w:tcW w:w="0" w:type="auto"/>
            <w:vAlign w:val="center"/>
            <w:hideMark/>
          </w:tcPr>
          <w:p w14:paraId="5507FB76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46B4A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8C91B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BF757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5C0A61D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4E02D923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23C68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CB44297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Хлібопекарня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6B6868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91378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0CC08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4431D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7E38398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0E84A0FC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0F472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62BEA65C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блок</w:t>
            </w:r>
          </w:p>
        </w:tc>
        <w:tc>
          <w:tcPr>
            <w:tcW w:w="0" w:type="auto"/>
            <w:vAlign w:val="center"/>
            <w:hideMark/>
          </w:tcPr>
          <w:p w14:paraId="4700F54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CFA20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87C79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0034D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70F8A95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0E064269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09022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14:paraId="29461EC0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680A6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520C1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A59EA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C4392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58D211E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601A8CD8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E680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14:paraId="0C5A6D27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1A2E0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63EF7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E5D7C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930451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1A19854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9A1F29D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A2012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14:paraId="34CD3811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Пральня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ECC2C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FA68D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952B0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A01EB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5BC7C37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65286BEA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530B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8B122F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Пожежне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депо</w:t>
            </w:r>
          </w:p>
        </w:tc>
        <w:tc>
          <w:tcPr>
            <w:tcW w:w="0" w:type="auto"/>
            <w:vAlign w:val="center"/>
            <w:hideMark/>
          </w:tcPr>
          <w:p w14:paraId="4D455AFB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C03B1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A75DB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C1E05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04C7197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5E6CE86" w14:textId="77777777" w:rsidTr="003B48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0E05D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6C249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C5197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EA4D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B60E2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494C9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4C0C7B6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8DB5AF" w14:textId="77777777" w:rsidR="003B4880" w:rsidRPr="003B4880" w:rsidRDefault="003B4880" w:rsidP="003B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880">
        <w:rPr>
          <w:rFonts w:ascii="Arial" w:eastAsia="Times New Roman" w:hAnsi="Arial" w:cs="Arial"/>
          <w:color w:val="402A18"/>
          <w:sz w:val="21"/>
          <w:szCs w:val="21"/>
          <w:lang w:eastAsia="ru-RU"/>
        </w:rPr>
        <w:br w:type="textWrapping" w:clear="all"/>
      </w:r>
    </w:p>
    <w:p w14:paraId="217FCD99" w14:textId="2A0F752B" w:rsidR="003B4880" w:rsidRPr="003B4880" w:rsidRDefault="003B4880" w:rsidP="003B4880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proofErr w:type="spellStart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>Зведений</w:t>
      </w:r>
      <w:proofErr w:type="spellEnd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 xml:space="preserve"> список культурно-</w:t>
      </w:r>
      <w:proofErr w:type="spellStart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>побутового</w:t>
      </w:r>
      <w:proofErr w:type="spellEnd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 xml:space="preserve"> </w:t>
      </w:r>
      <w:proofErr w:type="spellStart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>обслуговування</w:t>
      </w:r>
      <w:proofErr w:type="spellEnd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(</w:t>
      </w:r>
      <w:proofErr w:type="spellStart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>Таблиця</w:t>
      </w:r>
      <w:proofErr w:type="spellEnd"/>
      <w:r w:rsidRPr="003B4880">
        <w:rPr>
          <w:rFonts w:ascii="Times New Roman" w:eastAsia="Times New Roman" w:hAnsi="Times New Roman" w:cs="Times New Roman"/>
          <w:color w:val="402A18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)</w:t>
      </w:r>
    </w:p>
    <w:tbl>
      <w:tblPr>
        <w:tblW w:w="11210" w:type="dxa"/>
        <w:tblCellSpacing w:w="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909"/>
        <w:gridCol w:w="1296"/>
        <w:gridCol w:w="1288"/>
        <w:gridCol w:w="1018"/>
        <w:gridCol w:w="900"/>
        <w:gridCol w:w="1311"/>
        <w:gridCol w:w="991"/>
        <w:gridCol w:w="960"/>
        <w:gridCol w:w="1192"/>
      </w:tblGrid>
      <w:tr w:rsidR="003B4880" w:rsidRPr="003B4880" w14:paraId="3A944D2C" w14:textId="77777777" w:rsidTr="003B4880">
        <w:trPr>
          <w:trHeight w:val="585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EFF23F3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D12F20C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ADCAF38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</w:p>
          <w:p w14:paraId="3F3AD0A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4E63AAA7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об’єкту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6096988A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0C66D81A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Конфігу-рація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розміри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плані</w:t>
            </w:r>
            <w:proofErr w:type="spellEnd"/>
          </w:p>
        </w:tc>
        <w:tc>
          <w:tcPr>
            <w:tcW w:w="1147" w:type="dxa"/>
            <w:vMerge w:val="restart"/>
            <w:vAlign w:val="center"/>
            <w:hideMark/>
          </w:tcPr>
          <w:p w14:paraId="607D1B7C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типового проекту,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</w:p>
        </w:tc>
      </w:tr>
      <w:tr w:rsidR="003B4880" w:rsidRPr="003B4880" w14:paraId="2E073AF5" w14:textId="77777777" w:rsidTr="003B4880">
        <w:trPr>
          <w:trHeight w:val="109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6164C1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631CCD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54B26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4CC94C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Вмістимість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D34512" w14:textId="77777777" w:rsidR="003B4880" w:rsidRPr="003B4880" w:rsidRDefault="003B4880" w:rsidP="003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0DA2EB" w14:textId="77777777" w:rsidR="003B4880" w:rsidRPr="003B4880" w:rsidRDefault="003B4880" w:rsidP="003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301A58" w14:textId="77777777" w:rsidR="003B4880" w:rsidRPr="003B4880" w:rsidRDefault="003B4880" w:rsidP="003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Будівельний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об’єм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446F56F1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67457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14:paraId="5AE2133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5A394A5D" w14:textId="77777777" w:rsidTr="003B4880">
        <w:trPr>
          <w:trHeight w:val="855"/>
          <w:tblCellSpacing w:w="15" w:type="dxa"/>
        </w:trPr>
        <w:tc>
          <w:tcPr>
            <w:tcW w:w="0" w:type="auto"/>
            <w:vAlign w:val="center"/>
            <w:hideMark/>
          </w:tcPr>
          <w:p w14:paraId="666DA204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ED6B91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Адміністративний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4453AC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4AB79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71E7F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DD7701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2B2DA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82C2F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7E8E7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792D4EE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59F8D0C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62E6A63A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83F41C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0" w:type="auto"/>
            <w:vAlign w:val="center"/>
            <w:hideMark/>
          </w:tcPr>
          <w:p w14:paraId="7238A55E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2D0721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7739C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EF86D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15D6C1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DC775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DC0F0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0539CDF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0A68314F" w14:textId="77777777" w:rsidTr="003B4880">
        <w:trPr>
          <w:trHeight w:val="585"/>
          <w:tblCellSpacing w:w="15" w:type="dxa"/>
        </w:trPr>
        <w:tc>
          <w:tcPr>
            <w:tcW w:w="0" w:type="auto"/>
            <w:vAlign w:val="center"/>
            <w:hideMark/>
          </w:tcPr>
          <w:p w14:paraId="24F2B2B1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BE0606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Дім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Просвіти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F9BFD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42572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16532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0CCC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3D73F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95C97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5F40D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0A48155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69FDF70A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5A3850BB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D7DF624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Дит. садок</w:t>
            </w:r>
          </w:p>
        </w:tc>
        <w:tc>
          <w:tcPr>
            <w:tcW w:w="0" w:type="auto"/>
            <w:vAlign w:val="center"/>
            <w:hideMark/>
          </w:tcPr>
          <w:p w14:paraId="2458A59C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D6260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7E3BB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C53BC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936E4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FB697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0A173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5329145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2575BDCF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4EFB25A1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DF7A04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Торговий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центр:</w:t>
            </w:r>
          </w:p>
        </w:tc>
        <w:tc>
          <w:tcPr>
            <w:tcW w:w="0" w:type="auto"/>
            <w:vAlign w:val="center"/>
            <w:hideMark/>
          </w:tcPr>
          <w:p w14:paraId="7F58ADD6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11E86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0D5C0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917E7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ADA55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C31E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0423B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5BDC174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9D7D12F" w14:textId="77777777" w:rsidTr="003B4880">
        <w:trPr>
          <w:trHeight w:val="855"/>
          <w:tblCellSpacing w:w="15" w:type="dxa"/>
        </w:trPr>
        <w:tc>
          <w:tcPr>
            <w:tcW w:w="0" w:type="auto"/>
            <w:vAlign w:val="center"/>
            <w:hideMark/>
          </w:tcPr>
          <w:p w14:paraId="30FF7ED3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54B12936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Продовольчий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</w:t>
            </w:r>
          </w:p>
        </w:tc>
        <w:tc>
          <w:tcPr>
            <w:tcW w:w="0" w:type="auto"/>
            <w:vAlign w:val="center"/>
            <w:hideMark/>
          </w:tcPr>
          <w:p w14:paraId="2B86DE2D" w14:textId="77777777" w:rsidR="003B4880" w:rsidRPr="003B4880" w:rsidRDefault="003B4880" w:rsidP="003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торг.пл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м</w:t>
            </w: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062AD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A6EA7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7E18C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891E3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5956A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5F599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32FC731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3BA2D458" w14:textId="77777777" w:rsidTr="003B4880">
        <w:trPr>
          <w:trHeight w:val="855"/>
          <w:tblCellSpacing w:w="15" w:type="dxa"/>
        </w:trPr>
        <w:tc>
          <w:tcPr>
            <w:tcW w:w="0" w:type="auto"/>
            <w:vAlign w:val="center"/>
            <w:hideMark/>
          </w:tcPr>
          <w:p w14:paraId="0780C8C7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72A31F74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промтоварів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FAA8F0" w14:textId="77777777" w:rsidR="003B4880" w:rsidRPr="003B4880" w:rsidRDefault="003B4880" w:rsidP="003B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торг.пл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м</w:t>
            </w: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2FEC8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9111A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5F89C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36CF5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D5AA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4AAF6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7E37BEE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3B551A8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70B911B4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14:paraId="06E90926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Їдальня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-кафе</w:t>
            </w:r>
          </w:p>
        </w:tc>
        <w:tc>
          <w:tcPr>
            <w:tcW w:w="0" w:type="auto"/>
            <w:vAlign w:val="center"/>
            <w:hideMark/>
          </w:tcPr>
          <w:p w14:paraId="3510B9DE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B742ED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8F70A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E1F92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21483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DCD63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12496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0196DD5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39216E32" w14:textId="77777777" w:rsidTr="003B4880">
        <w:trPr>
          <w:trHeight w:val="585"/>
          <w:tblCellSpacing w:w="15" w:type="dxa"/>
        </w:trPr>
        <w:tc>
          <w:tcPr>
            <w:tcW w:w="0" w:type="auto"/>
            <w:vAlign w:val="center"/>
            <w:hideMark/>
          </w:tcPr>
          <w:p w14:paraId="2E0A5CB8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14:paraId="5E93D725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 О</w:t>
            </w:r>
          </w:p>
        </w:tc>
        <w:tc>
          <w:tcPr>
            <w:tcW w:w="0" w:type="auto"/>
            <w:vAlign w:val="center"/>
            <w:hideMark/>
          </w:tcPr>
          <w:p w14:paraId="68B195E5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роб.місце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7FD0667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F852E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922AA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A6F4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0BDC4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0D347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06A3132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2D13F11E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528D3726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14:paraId="0E89957C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386002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C7FBC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12CCF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4E317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CC873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6CDCF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64E2B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3E5A665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4C113B44" w14:textId="77777777" w:rsidTr="003B4880">
        <w:trPr>
          <w:trHeight w:val="585"/>
          <w:tblCellSpacing w:w="15" w:type="dxa"/>
        </w:trPr>
        <w:tc>
          <w:tcPr>
            <w:tcW w:w="0" w:type="auto"/>
            <w:vAlign w:val="center"/>
            <w:hideMark/>
          </w:tcPr>
          <w:p w14:paraId="7115CE82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A03D6C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13D2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74418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01FC7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3FD5E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FCA80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C6CA1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44B5F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3704BE9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5A3AF313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4C1B7C50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7CF662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Церква</w:t>
            </w:r>
          </w:p>
        </w:tc>
        <w:tc>
          <w:tcPr>
            <w:tcW w:w="0" w:type="auto"/>
            <w:vAlign w:val="center"/>
            <w:hideMark/>
          </w:tcPr>
          <w:p w14:paraId="3604E7F7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43CAD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C896D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4F3A3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799C8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7708F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9FB35D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2AB0C32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75B87424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228C062E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70D5EA39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Хлібопекарня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8792E7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1B8E0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252BF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137E4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DFB5A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48449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7C814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3F77E5D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3A3F3B9E" w14:textId="77777777" w:rsidTr="003B4880">
        <w:trPr>
          <w:trHeight w:val="585"/>
          <w:tblCellSpacing w:w="15" w:type="dxa"/>
        </w:trPr>
        <w:tc>
          <w:tcPr>
            <w:tcW w:w="0" w:type="auto"/>
            <w:vAlign w:val="center"/>
            <w:hideMark/>
          </w:tcPr>
          <w:p w14:paraId="404C7487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01F24CD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блок</w:t>
            </w:r>
          </w:p>
        </w:tc>
        <w:tc>
          <w:tcPr>
            <w:tcW w:w="0" w:type="auto"/>
            <w:vAlign w:val="center"/>
            <w:hideMark/>
          </w:tcPr>
          <w:p w14:paraId="55D3AA6F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3E359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9BF1A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3365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978B4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C80CE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A48E8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4CFDA8BD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F73D6FE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26DEF7E3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14:paraId="52D890FC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3F055D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BD974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60639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DA776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24279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100FB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37D85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77735AE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15093120" w14:textId="77777777" w:rsidTr="003B4880">
        <w:trPr>
          <w:trHeight w:val="585"/>
          <w:tblCellSpacing w:w="15" w:type="dxa"/>
        </w:trPr>
        <w:tc>
          <w:tcPr>
            <w:tcW w:w="0" w:type="auto"/>
            <w:vAlign w:val="center"/>
            <w:hideMark/>
          </w:tcPr>
          <w:p w14:paraId="3A0B9E3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14:paraId="6AC1C347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D5B14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помив.місць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4C4BD16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AD2CA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97643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EBEEB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0C10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69593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26909DF9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5B8DEE1D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1CAE6009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14:paraId="68A6F0B7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Пральня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6D8634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кг. </w:t>
            </w:r>
            <w:proofErr w:type="spellStart"/>
            <w:proofErr w:type="gram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доб.</w:t>
            </w:r>
          </w:p>
        </w:tc>
        <w:tc>
          <w:tcPr>
            <w:tcW w:w="0" w:type="auto"/>
            <w:vAlign w:val="center"/>
            <w:hideMark/>
          </w:tcPr>
          <w:p w14:paraId="6FC25E0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9EAE1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89064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C21FBE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4888F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BBA73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180A3B34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20731F1D" w14:textId="77777777" w:rsidTr="003B4880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6EF4BF86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647496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Пожежне</w:t>
            </w:r>
            <w:proofErr w:type="spellEnd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депо</w:t>
            </w:r>
          </w:p>
        </w:tc>
        <w:tc>
          <w:tcPr>
            <w:tcW w:w="0" w:type="auto"/>
            <w:vAlign w:val="center"/>
            <w:hideMark/>
          </w:tcPr>
          <w:p w14:paraId="2ED9708A" w14:textId="77777777" w:rsidR="003B4880" w:rsidRPr="003B4880" w:rsidRDefault="003B4880" w:rsidP="003B488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пож.маш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66BF340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3AC3FC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7D682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1240B7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49998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92A85B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0551714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880" w:rsidRPr="003B4880" w14:paraId="217A4C49" w14:textId="77777777" w:rsidTr="003B4880">
        <w:trPr>
          <w:trHeight w:val="585"/>
          <w:tblCellSpacing w:w="15" w:type="dxa"/>
        </w:trPr>
        <w:tc>
          <w:tcPr>
            <w:tcW w:w="0" w:type="auto"/>
            <w:vAlign w:val="center"/>
            <w:hideMark/>
          </w:tcPr>
          <w:p w14:paraId="7B7D541A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106EF8" w14:textId="77777777" w:rsidR="003B4880" w:rsidRPr="003B4880" w:rsidRDefault="003B4880" w:rsidP="003B488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7DEDF2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1E2C3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920E06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30B4D3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95E8C8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00A50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6867BF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3E60C535" w14:textId="77777777" w:rsidR="003B4880" w:rsidRPr="003B4880" w:rsidRDefault="003B4880" w:rsidP="003B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F685F3" w14:textId="77777777" w:rsidR="00F17117" w:rsidRPr="00F17117" w:rsidRDefault="00F17117" w:rsidP="006F18FC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70572AD0" w14:textId="77ED76F9" w:rsidR="003B6367" w:rsidRPr="003706D2" w:rsidRDefault="003B6367" w:rsidP="003B6367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06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370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  <w:r w:rsidRPr="003706D2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Pr="003706D2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</w:rPr>
        <w:t>проектуванні</w:t>
      </w:r>
      <w:proofErr w:type="spellEnd"/>
      <w:r w:rsidRPr="003706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</w:rPr>
        <w:t>житлових</w:t>
      </w:r>
      <w:proofErr w:type="spellEnd"/>
      <w:r w:rsidRPr="003706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</w:rPr>
        <w:t>кварталів</w:t>
      </w:r>
      <w:proofErr w:type="spellEnd"/>
      <w:r w:rsidRPr="003706D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6BFA2FB5" w14:textId="77777777" w:rsidR="00613F6B" w:rsidRPr="003706D2" w:rsidRDefault="00613F6B" w:rsidP="003B6367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DF8AC7" w14:textId="637B381E" w:rsidR="003B6367" w:rsidRPr="003706D2" w:rsidRDefault="003B6367" w:rsidP="003706D2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Житловий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квартал –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первинний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архітектурно-планувальної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пункту,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обмеженої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червоними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лініями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проїздами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3706D2">
        <w:rPr>
          <w:rFonts w:ascii="Times New Roman" w:hAnsi="Times New Roman" w:cs="Times New Roman"/>
          <w:sz w:val="28"/>
          <w:szCs w:val="28"/>
        </w:rPr>
        <w:t xml:space="preserve"> межами. </w:t>
      </w:r>
    </w:p>
    <w:p w14:paraId="0924CA71" w14:textId="6D0A3952" w:rsidR="00613F6B" w:rsidRPr="003706D2" w:rsidRDefault="003706D2" w:rsidP="003706D2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Державні</w:t>
      </w:r>
      <w:proofErr w:type="spellEnd"/>
      <w:r w:rsidRPr="003706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будівельні</w:t>
      </w:r>
      <w:proofErr w:type="spellEnd"/>
      <w:r w:rsidRPr="003706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норми</w:t>
      </w:r>
      <w:proofErr w:type="spellEnd"/>
      <w:r w:rsidRPr="003706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3706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далі</w:t>
      </w:r>
      <w:proofErr w:type="spellEnd"/>
      <w:r w:rsidRPr="003706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ДБН)</w:t>
      </w:r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нормативний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акт,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затверджений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центральним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органом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виконавчої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забезпечує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формування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державної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політики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сфері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будівництва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стаття</w:t>
      </w:r>
      <w:proofErr w:type="spellEnd"/>
      <w:r w:rsidRPr="003706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1 </w:t>
      </w:r>
      <w:hyperlink r:id="rId5" w:anchor="Text" w:history="1">
        <w:r w:rsidRPr="003706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Закону </w:t>
        </w:r>
        <w:proofErr w:type="spellStart"/>
        <w:r w:rsidRPr="003706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3706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"Про </w:t>
        </w:r>
        <w:proofErr w:type="spellStart"/>
        <w:r w:rsidRPr="003706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будівельні</w:t>
        </w:r>
        <w:proofErr w:type="spellEnd"/>
        <w:r w:rsidRPr="003706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3706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норми</w:t>
        </w:r>
        <w:proofErr w:type="spellEnd"/>
        <w:r w:rsidRPr="003706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</w:t>
        </w:r>
      </w:hyperlink>
      <w:r w:rsidRPr="003706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95329D" w14:textId="3C8576B1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Будівельні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3AC5E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Об’єктами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нормування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будівництві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є:</w:t>
      </w:r>
    </w:p>
    <w:p w14:paraId="4EB86B63" w14:textId="77777777" w:rsidR="003706D2" w:rsidRPr="003706D2" w:rsidRDefault="003706D2" w:rsidP="003706D2">
      <w:pPr>
        <w:numPr>
          <w:ilvl w:val="0"/>
          <w:numId w:val="1"/>
        </w:numPr>
        <w:shd w:val="clear" w:color="auto" w:fill="FFFFFF"/>
        <w:spacing w:before="100" w:beforeAutospacing="1" w:after="24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FC9B9F" w14:textId="77777777" w:rsidR="003706D2" w:rsidRPr="003706D2" w:rsidRDefault="003706D2" w:rsidP="003706D2">
      <w:pPr>
        <w:numPr>
          <w:ilvl w:val="0"/>
          <w:numId w:val="1"/>
        </w:numPr>
        <w:shd w:val="clear" w:color="auto" w:fill="FFFFFF"/>
        <w:spacing w:before="100" w:beforeAutospacing="1" w:after="24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EAD064" w14:textId="77777777" w:rsidR="003706D2" w:rsidRPr="003706D2" w:rsidRDefault="003706D2" w:rsidP="003706D2">
      <w:pPr>
        <w:numPr>
          <w:ilvl w:val="0"/>
          <w:numId w:val="1"/>
        </w:numPr>
        <w:shd w:val="clear" w:color="auto" w:fill="FFFFFF"/>
        <w:spacing w:before="100" w:beforeAutospacing="1" w:after="24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5 </w:t>
      </w:r>
      <w:hyperlink r:id="rId6" w:anchor="Text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Закону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"Про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будівельні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7497DEC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обов’язковість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Верховною Радою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11 </w:t>
      </w:r>
      <w:hyperlink r:id="rId7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Закону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"Про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будівельні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970884D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центральний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архітектурно-будівельного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архітектурно-будівельного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архітектурно-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будівельного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Севастопольської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"https://zakon.rada.gov.ua/laws/show/3038-17" \l "Text" </w:instrTex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7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Закону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містобудівної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29A2FB" w14:textId="69C85FA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них 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підлягають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офіційному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є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права. Право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12 </w:t>
      </w:r>
      <w:hyperlink r:id="rId8" w:anchor="Text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Закону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"Про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будівельні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AB1C4D6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933BD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A2A603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користувачем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містобудівної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C79E73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Проектування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будівництво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здійснюється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власниками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користувачами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такому порядку</w:t>
      </w:r>
      <w:proofErr w:type="gram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616880E" w14:textId="77777777" w:rsidR="003706D2" w:rsidRPr="003706D2" w:rsidRDefault="003706D2" w:rsidP="00F17117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проектувальником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вихідних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6E589B" w14:textId="77777777" w:rsidR="003706D2" w:rsidRPr="003706D2" w:rsidRDefault="003706D2" w:rsidP="00F17117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експертизи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49EBC8" w14:textId="77777777" w:rsidR="003706D2" w:rsidRPr="003706D2" w:rsidRDefault="003706D2" w:rsidP="00F17117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E71758" w14:textId="77777777" w:rsidR="003706D2" w:rsidRPr="003706D2" w:rsidRDefault="003706D2" w:rsidP="00F17117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підготовчих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7773F2" w14:textId="77777777" w:rsidR="003706D2" w:rsidRPr="003706D2" w:rsidRDefault="003706D2" w:rsidP="00F17117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геодезичного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знімання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належать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незначними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наслідками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(СС1))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інвентаризації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центральним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8A7D0C0" w14:textId="77777777" w:rsidR="003706D2" w:rsidRPr="003706D2" w:rsidRDefault="003706D2" w:rsidP="00F17117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01451" w14:textId="77777777" w:rsidR="003706D2" w:rsidRPr="003706D2" w:rsidRDefault="003706D2" w:rsidP="00F17117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Закону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"Про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регулювання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містобудівної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діяльності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318349B" w14:textId="724929AE" w:rsidR="003706D2" w:rsidRPr="003706D2" w:rsidRDefault="00F17117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розміщенні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кварталах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сформованою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забудовою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догляду</w:t>
      </w:r>
      <w:proofErr w:type="gram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будинками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ремонту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відстань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суміжної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виступаючої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стіни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менше</w:t>
      </w:r>
      <w:proofErr w:type="spellEnd"/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ніж</w:t>
      </w:r>
      <w:proofErr w:type="spellEnd"/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1,0 м.</w:t>
      </w:r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забезпечене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інженерно-технічних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запобігатимуть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попаданню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атмосферних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опадів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покрівель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карнизів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територію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суміжних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взаємоузгоджене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водовідведення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ДБН В.1.1-25.</w:t>
      </w:r>
    </w:p>
    <w:p w14:paraId="52A6D53B" w14:textId="042B1582" w:rsidR="003706D2" w:rsidRPr="003706D2" w:rsidRDefault="00F17117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</w:t>
      </w:r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садибної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дачної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відстань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менше</w:t>
      </w:r>
      <w:proofErr w:type="spellEnd"/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м.</w:t>
      </w:r>
    </w:p>
    <w:p w14:paraId="654F17BE" w14:textId="6EB60B63" w:rsidR="003706D2" w:rsidRPr="003706D2" w:rsidRDefault="00F17117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Відстань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суміжної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стовбурів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дерев,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висаджуються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м до 6 м</w:t>
      </w:r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(але не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1/2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діаметра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дерева), а до </w:t>
      </w:r>
      <w:proofErr w:type="spellStart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кущів</w:t>
      </w:r>
      <w:proofErr w:type="spellEnd"/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="003706D2"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1,0 м.</w:t>
      </w:r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(пункт 6.1.41 </w:t>
      </w:r>
      <w:hyperlink r:id="rId10" w:history="1"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ДБН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Б.2.2-12:2019 "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Планування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і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забудова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територій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64EC6AA" w14:textId="7F1614ED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стосується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розміщення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F171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 законом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передбачено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наступне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7283E27" w14:textId="77777777" w:rsidR="003706D2" w:rsidRPr="003706D2" w:rsidRDefault="003706D2" w:rsidP="00F17117">
      <w:pPr>
        <w:numPr>
          <w:ilvl w:val="0"/>
          <w:numId w:val="3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присадибних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ділянках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проекту</w:t>
      </w:r>
      <w:proofErr w:type="gram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відступом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1DE52235" w14:textId="77777777" w:rsidR="003706D2" w:rsidRPr="003706D2" w:rsidRDefault="003706D2" w:rsidP="00F17117">
      <w:pPr>
        <w:numPr>
          <w:ilvl w:val="0"/>
          <w:numId w:val="3"/>
        </w:numPr>
        <w:shd w:val="clear" w:color="auto" w:fill="FFFFFF"/>
        <w:spacing w:before="100" w:beforeAutospacing="1" w:after="24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відступом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магістральних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менше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м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менше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м.</w:t>
      </w:r>
    </w:p>
    <w:p w14:paraId="7A5DFC07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Червоні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лінії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містобудівній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запроектованих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доріг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розділяють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</w:t>
      </w:r>
      <w:hyperlink r:id="rId11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Закону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"Про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регулювання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містобудівної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діяльності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29AA244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Відстань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споруд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дерев і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чагарників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повинна бути: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стовбурів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 — </w:t>
      </w:r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5,0 м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чагарників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1,5 м.</w:t>
      </w:r>
    </w:p>
    <w:p w14:paraId="264D597C" w14:textId="77777777" w:rsidR="003706D2" w:rsidRPr="00F17117" w:rsidRDefault="003706D2" w:rsidP="003706D2">
      <w:pPr>
        <w:pBdr>
          <w:bottom w:val="single" w:sz="6" w:space="0" w:color="A2A9B1"/>
        </w:pBdr>
        <w:shd w:val="clear" w:color="auto" w:fill="FFFFFF"/>
        <w:spacing w:before="240" w:after="60" w:line="276" w:lineRule="auto"/>
        <w:ind w:left="-567"/>
        <w:jc w:val="both"/>
        <w:outlineLvl w:val="1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Порядок </w:t>
      </w:r>
      <w:proofErr w:type="spellStart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розміщення</w:t>
      </w:r>
      <w:proofErr w:type="spellEnd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господарських</w:t>
      </w:r>
      <w:proofErr w:type="spellEnd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будівель</w:t>
      </w:r>
      <w:proofErr w:type="spellEnd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та </w:t>
      </w:r>
      <w:proofErr w:type="spellStart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споруд</w:t>
      </w:r>
      <w:proofErr w:type="spellEnd"/>
    </w:p>
    <w:p w14:paraId="006EA685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селищах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присадибних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ділянках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протипожежних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вбудовані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прибудовані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F6DFD5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Господарські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присадибні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будівлі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допоміжні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хліви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вбиральні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погреби,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навіси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бойлерні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підстанції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F5CBF8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худоби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допускаються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селищах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міського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типу, 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також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районах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садибного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житлового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будівництва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нормативно-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державного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дозволено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9EA30C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Розміщення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господарських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будівель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лінії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забудови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житловими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будинками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E20387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вбудованими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прибудованими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розташованими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в’їздів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прорізів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сусідніх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(пункт 6.1.39 </w:t>
      </w:r>
      <w:hyperlink r:id="rId12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ДБН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Б.2.2-12:2019 "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Планування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і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забудова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територій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5AE0D2A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Спорудження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надвірних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господарських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будівель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лінії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забудови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вулиць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проїздів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забороняється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зводити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глибині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садиби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дотриманням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санітарних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протипожежних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13BC3CD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прибудова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сараїв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тому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худоби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садибних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блокованих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проектами,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встановленому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порядку.</w:t>
      </w:r>
    </w:p>
    <w:p w14:paraId="0CD34427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Господарські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будівлі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й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гаражі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об'єднувати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суміжних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ділянках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FEA33E2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Суміжні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земельні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ділянки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примикають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Господарські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будівлі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гаражі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сусідніх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блокувати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6D522EA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присадибній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ділянці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нормами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Прибудовані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підприємницької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ділянках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лініях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96597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розміщення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господарських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споруд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2AB31FE" w14:textId="77777777" w:rsidR="003706D2" w:rsidRPr="003706D2" w:rsidRDefault="003706D2" w:rsidP="003706D2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худоби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50 м</w:t>
      </w:r>
      <w:r w:rsidRPr="003706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прибудовувати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одно-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двоквартирних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ІV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кліматичному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умов</w:t>
      </w:r>
      <w:proofErr w:type="gram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ізоляції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кухонь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трьома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підсобними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відстаней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ділянках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A9927A" w14:textId="77777777" w:rsidR="003706D2" w:rsidRPr="003706D2" w:rsidRDefault="003706D2" w:rsidP="003706D2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продуктивності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 м</w:t>
      </w:r>
      <w:r w:rsidRPr="003706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добу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водозабірні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господарсько-питного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40-50 м вниз по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вод, 20-25 м вверх по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25-30 м по перпендикуляру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вод.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артсвердловин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колодязів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водозабірних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повинно бути вверх по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неможливості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влаштовувати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свердловини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колодязі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каптажі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розміщуються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вздовж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відступом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2,5-3 м,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майданчиках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 м - 3 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твердим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покриттям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ухилом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40-50 ‰.</w:t>
      </w:r>
    </w:p>
    <w:p w14:paraId="30650473" w14:textId="77777777" w:rsidR="003706D2" w:rsidRPr="003706D2" w:rsidRDefault="003706D2" w:rsidP="003706D2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Вигрібні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вбиралень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запобігають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фільтрації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68771C" w14:textId="77777777" w:rsidR="003706D2" w:rsidRPr="003706D2" w:rsidRDefault="003706D2" w:rsidP="003706D2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для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худоби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птахів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50 м</w:t>
      </w:r>
      <w:r w:rsidRPr="003706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—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ближче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літніх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кухонь та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ближче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артсвердловин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колодязів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(пункт 6.1.41 </w:t>
      </w:r>
      <w:hyperlink r:id="rId13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ДБН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Б.2.2-12:2019 "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Планування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і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забудова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територій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AE4403" w14:textId="77777777" w:rsidR="003706D2" w:rsidRPr="00F17117" w:rsidRDefault="003706D2" w:rsidP="003706D2">
      <w:pPr>
        <w:pBdr>
          <w:bottom w:val="single" w:sz="6" w:space="0" w:color="A2A9B1"/>
        </w:pBdr>
        <w:shd w:val="clear" w:color="auto" w:fill="FFFFFF"/>
        <w:spacing w:before="240" w:after="60" w:line="276" w:lineRule="auto"/>
        <w:ind w:left="-567"/>
        <w:jc w:val="both"/>
        <w:outlineLvl w:val="1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proofErr w:type="spellStart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Вимоги</w:t>
      </w:r>
      <w:proofErr w:type="spellEnd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до </w:t>
      </w:r>
      <w:proofErr w:type="spellStart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розміщення</w:t>
      </w:r>
      <w:proofErr w:type="spellEnd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F1711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парканів</w:t>
      </w:r>
      <w:proofErr w:type="spellEnd"/>
    </w:p>
    <w:p w14:paraId="507414EF" w14:textId="77777777" w:rsidR="003706D2" w:rsidRPr="003706D2" w:rsidRDefault="003706D2" w:rsidP="003706D2">
      <w:pPr>
        <w:shd w:val="clear" w:color="auto" w:fill="FFFFFF"/>
        <w:spacing w:before="72" w:after="0" w:line="276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Обмеження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висоти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паркану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огорожі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053F9C2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Присадибні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боку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сусідніх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огороджувати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6.1.34 </w:t>
      </w:r>
      <w:hyperlink r:id="rId14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ДБН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Б.2.2-12:2019 "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Планування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і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забудова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територій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ДБН Б.2.2-5:2011 "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Благоустрій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територій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 правилами благоустрою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пункту.</w:t>
      </w:r>
    </w:p>
    <w:p w14:paraId="00A12E4B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погіршувати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інсоляцію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79AA2B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Огорожа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присадибних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повинна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виступати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червону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лінію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вулиці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та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межі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14:paraId="508212EE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дозволено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проектувати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огородження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усієї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прибудинкової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садибної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6.7 </w:t>
      </w:r>
      <w:hyperlink r:id="rId16" w:history="1"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ДБН Б.2.2-5:2011 "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Благоустрій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територій</w:t>
        </w:r>
        <w:proofErr w:type="spellEnd"/>
        <w:r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91D1B90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огороджень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 </w:t>
      </w:r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більше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ніж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2,0 м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сусідніх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 </w:t>
      </w:r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більше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ніж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2,5 м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вулицею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інсоляції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провітрювання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B73AC1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Власники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землекористувачі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земельних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повинні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обирати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такі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способи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використання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земельних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відповідно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їх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цільового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призначення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при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яких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власникам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землекористувачам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сусідніх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земельних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ділянок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завдається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найменше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незручностей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затінення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задимлення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неприємні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запахи,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шумове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забруднення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тощо</w:t>
      </w:r>
      <w:proofErr w:type="spellEnd"/>
      <w:r w:rsidRPr="00370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"https://zakon.rada.gov.ua/laws/show/2768-14" </w:instrTex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C55D6FA" w14:textId="77777777" w:rsidR="003706D2" w:rsidRPr="003706D2" w:rsidRDefault="003706D2" w:rsidP="003706D2">
      <w:pPr>
        <w:shd w:val="clear" w:color="auto" w:fill="FFFFFF"/>
        <w:spacing w:before="72" w:after="0" w:line="276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потрібен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дозвіл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будівництво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паркану</w:t>
      </w:r>
      <w:proofErr w:type="spellEnd"/>
      <w:r w:rsidRPr="00370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04251EFF" w14:textId="77777777" w:rsidR="003706D2" w:rsidRPr="003706D2" w:rsidRDefault="003B4880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Постановою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Кабiнету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Міністрів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від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07.06.2017 року №406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затверджено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Перелік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будівельних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робіт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які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не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потребують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документів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що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дають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право на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їх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виконання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та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після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закінчення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яких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об'єкт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не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підлягає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прийняттю</w:t>
        </w:r>
        <w:proofErr w:type="spellEnd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</w:t>
        </w:r>
        <w:proofErr w:type="spellStart"/>
        <w:r w:rsidR="003706D2" w:rsidRPr="003706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експлуатацію</w:t>
        </w:r>
        <w:proofErr w:type="spellEnd"/>
      </w:hyperlink>
      <w:r w:rsidR="003706D2"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22DEF3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пунктом 6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"https://zakon.rada.gov.ua/laws/show/406-2017-%D0%BF" </w:instrTex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експлуатацію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зведення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земельній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ділянці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влаштування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навісів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альтанок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накриття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естакад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літніх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теплиць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свердловин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криниць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люфт-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клозетів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вбиралень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вигрібних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замощень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парканів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басейнів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накриттям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воріт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хвірток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приямків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терас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ґанків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садибних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CFE09A" w14:textId="77777777" w:rsidR="003706D2" w:rsidRPr="003706D2" w:rsidRDefault="003706D2" w:rsidP="003706D2">
      <w:pPr>
        <w:shd w:val="clear" w:color="auto" w:fill="FFFFFF"/>
        <w:spacing w:before="120"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чинне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зобов’язань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дозвільних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парканів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огорож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присадибних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дачних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ділянках</w:t>
      </w:r>
      <w:proofErr w:type="spellEnd"/>
      <w:r w:rsidRPr="00370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5E1B2" w14:textId="77777777" w:rsidR="003706D2" w:rsidRPr="003706D2" w:rsidRDefault="003706D2" w:rsidP="006F18FC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6444D993" w14:textId="77777777" w:rsidR="00613F6B" w:rsidRPr="003706D2" w:rsidRDefault="00613F6B" w:rsidP="006F18FC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sectPr w:rsidR="00613F6B" w:rsidRPr="003706D2" w:rsidSect="006F18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2735"/>
    <w:multiLevelType w:val="multilevel"/>
    <w:tmpl w:val="9A94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31BB7"/>
    <w:multiLevelType w:val="multilevel"/>
    <w:tmpl w:val="04C0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C0E28"/>
    <w:multiLevelType w:val="multilevel"/>
    <w:tmpl w:val="97BC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17858"/>
    <w:multiLevelType w:val="hybridMultilevel"/>
    <w:tmpl w:val="35B4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7608"/>
    <w:multiLevelType w:val="multilevel"/>
    <w:tmpl w:val="E8CA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6E"/>
    <w:rsid w:val="001B396E"/>
    <w:rsid w:val="003706D2"/>
    <w:rsid w:val="003B4880"/>
    <w:rsid w:val="003B6367"/>
    <w:rsid w:val="004509E0"/>
    <w:rsid w:val="00613F6B"/>
    <w:rsid w:val="006F18FC"/>
    <w:rsid w:val="0096768F"/>
    <w:rsid w:val="00F17117"/>
    <w:rsid w:val="00FA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93CA"/>
  <w15:chartTrackingRefBased/>
  <w15:docId w15:val="{79504E62-A2FB-4517-95E2-63185383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0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0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6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0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06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706D2"/>
  </w:style>
  <w:style w:type="paragraph" w:styleId="a5">
    <w:name w:val="List Paragraph"/>
    <w:basedOn w:val="a"/>
    <w:uiPriority w:val="34"/>
    <w:qFormat/>
    <w:rsid w:val="00FA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4-17" TargetMode="External"/><Relationship Id="rId13" Type="http://schemas.openxmlformats.org/officeDocument/2006/relationships/hyperlink" Target="https://dreamdim.ua/wp-content/uploads/2019/07/DBN-B22-12-2019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6-20" TargetMode="External"/><Relationship Id="rId12" Type="http://schemas.openxmlformats.org/officeDocument/2006/relationships/hyperlink" Target="https://dreamdim.ua/wp-content/uploads/2019/07/DBN-B22-12-2019.pdf" TargetMode="External"/><Relationship Id="rId17" Type="http://schemas.openxmlformats.org/officeDocument/2006/relationships/hyperlink" Target="https://zakon.rada.gov.ua/laws/show/406-2017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dreamdim.ua/wp-content/uploads/2019/01/DBN-B225-201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04-17" TargetMode="External"/><Relationship Id="rId11" Type="http://schemas.openxmlformats.org/officeDocument/2006/relationships/hyperlink" Target="https://zakon.rada.gov.ua/laws/show/3038-17" TargetMode="External"/><Relationship Id="rId5" Type="http://schemas.openxmlformats.org/officeDocument/2006/relationships/hyperlink" Target="https://zakon.rada.gov.ua/laws/show/1704-17" TargetMode="External"/><Relationship Id="rId15" Type="http://schemas.openxmlformats.org/officeDocument/2006/relationships/hyperlink" Target="http://dreamdim.ua/wp-content/uploads/2019/01/DBN-B225-2011.pdf" TargetMode="External"/><Relationship Id="rId10" Type="http://schemas.openxmlformats.org/officeDocument/2006/relationships/hyperlink" Target="https://dreamdim.ua/wp-content/uploads/2019/07/DBN-B22-12-2019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dreamdim.ua/wp-content/uploads/2019/07/DBN-B22-12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2022-08-26T16:52:00Z</dcterms:created>
  <dcterms:modified xsi:type="dcterms:W3CDTF">2023-02-05T11:57:00Z</dcterms:modified>
</cp:coreProperties>
</file>