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DB40" w14:textId="7612338F" w:rsidR="0096768F" w:rsidRPr="00352395" w:rsidRDefault="00352395" w:rsidP="003523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2395">
        <w:rPr>
          <w:rFonts w:ascii="Times New Roman" w:hAnsi="Times New Roman" w:cs="Times New Roman"/>
          <w:sz w:val="28"/>
          <w:szCs w:val="28"/>
          <w:lang w:val="uk-UA"/>
        </w:rPr>
        <w:t>Лекція 2</w:t>
      </w:r>
    </w:p>
    <w:p w14:paraId="3350DD7A" w14:textId="783B2BCD" w:rsidR="00352395" w:rsidRDefault="00352395" w:rsidP="00352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395">
        <w:rPr>
          <w:rFonts w:ascii="Times New Roman" w:hAnsi="Times New Roman" w:cs="Times New Roman"/>
          <w:b/>
          <w:color w:val="000000" w:themeColor="text1"/>
          <w:sz w:val="28"/>
          <w:szCs w:val="32"/>
          <w:lang w:val="uk-UA"/>
        </w:rPr>
        <w:t xml:space="preserve">Тема 2.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35239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2395">
        <w:rPr>
          <w:rFonts w:ascii="Times New Roman" w:hAnsi="Times New Roman" w:cs="Times New Roman"/>
          <w:b/>
          <w:sz w:val="28"/>
          <w:szCs w:val="28"/>
        </w:rPr>
        <w:t>земель</w:t>
      </w:r>
      <w:r w:rsidRPr="0035239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населених</w:t>
      </w:r>
      <w:proofErr w:type="spellEnd"/>
      <w:r w:rsidRPr="0035239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пунктів</w:t>
      </w:r>
      <w:proofErr w:type="spellEnd"/>
      <w:r w:rsidRPr="0035239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2395">
        <w:rPr>
          <w:rFonts w:ascii="Times New Roman" w:hAnsi="Times New Roman" w:cs="Times New Roman"/>
          <w:b/>
          <w:sz w:val="28"/>
          <w:szCs w:val="28"/>
        </w:rPr>
        <w:t>і</w:t>
      </w:r>
      <w:r w:rsidRPr="0035239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35239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соціально-економічне</w:t>
      </w:r>
      <w:proofErr w:type="spellEnd"/>
      <w:r w:rsidRPr="0035239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352395">
        <w:rPr>
          <w:rFonts w:ascii="Times New Roman" w:hAnsi="Times New Roman" w:cs="Times New Roman"/>
          <w:b/>
          <w:sz w:val="28"/>
          <w:szCs w:val="28"/>
        </w:rPr>
        <w:t>значення</w:t>
      </w:r>
      <w:proofErr w:type="spellEnd"/>
    </w:p>
    <w:p w14:paraId="189D99D3" w14:textId="77777777" w:rsidR="00DB5DCC" w:rsidRPr="00DB5DCC" w:rsidRDefault="00352395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B5DC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пун</w:t>
      </w:r>
      <w:bookmarkStart w:id="0" w:name="_GoBack"/>
      <w:bookmarkEnd w:id="0"/>
      <w:r w:rsidR="00DB5DCC" w:rsidRPr="00DB5DCC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землями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DCC" w:rsidRPr="00DB5DCC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DB5DCC" w:rsidRPr="00DB5DC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75010A3" w14:textId="77777777" w:rsidR="00DB5DCC" w:rsidRPr="00DB5DCC" w:rsidRDefault="00DB5DCC" w:rsidP="00DB5DCC">
      <w:pPr>
        <w:spacing w:after="0" w:line="276" w:lineRule="auto"/>
        <w:ind w:left="-567" w:firstLine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5DC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Дозвіл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забудову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B12BF6D" w14:textId="57CEF007" w:rsidR="00352395" w:rsidRDefault="00DB5DCC" w:rsidP="00DB5DCC">
      <w:pPr>
        <w:spacing w:after="0" w:line="276" w:lineRule="auto"/>
        <w:ind w:left="-567" w:firstLine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DB5D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</w:p>
    <w:p w14:paraId="38DB1196" w14:textId="473E878D" w:rsidR="00DB5DCC" w:rsidRDefault="00DB5DCC" w:rsidP="00DB5DCC">
      <w:pPr>
        <w:spacing w:after="0" w:line="276" w:lineRule="auto"/>
        <w:ind w:left="-567" w:firstLine="14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C11D614" w14:textId="77777777" w:rsidR="00B309CB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землями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09CB" w:rsidRPr="00B309CB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="00B309CB"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A6C3BC" w14:textId="78E6DF4F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Первинною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ланкою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зосередження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людей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необхідними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будівлями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типів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селища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>типу.</w:t>
      </w:r>
    </w:p>
    <w:p w14:paraId="1DCF4C9F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вважають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10 тис.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налічують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 тис.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половина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лісовому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господарстві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називають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селищами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типу.</w:t>
      </w:r>
    </w:p>
    <w:p w14:paraId="45B0DF05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(до 50 тис),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(50-100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тис),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100 тис.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великих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містмільйонерів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тих,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чисельність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1 млн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населений пункт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господарстві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ECF36D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малоповерхова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присадибними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незначна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чисельність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них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(до 1 тис.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1 до 2 тис),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 до 5 тис.)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5 тис.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EE1BB8E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Територіально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цілісні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поєднання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взаємодіють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собою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взаємодоповнюють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один</w:t>
      </w:r>
      <w:r w:rsidRPr="002B3A36"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одного,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називають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системою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 межах</w:t>
      </w:r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поселення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утворюють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загальнодержавну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систему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F40BA0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селищ,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Землями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331AC4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підрозділяють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типів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В основу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класифікації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покладені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чисельність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науково-виробнича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спеціалізація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будові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361CF6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типу) й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Смуга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пункту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обмежуються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єдиного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фонду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кордонів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смуги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смуга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зовнішньою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межею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відокремлює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прилеглих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фонду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смуги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тому,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вона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відділяє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і є кордоном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як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адміністративнотериторіальної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в межах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компетенція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Рад,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виконкомів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підвідомчій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4F392F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Види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загальна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характеристика </w:t>
      </w:r>
      <w:proofErr w:type="spellStart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правового</w:t>
      </w:r>
      <w:r w:rsidRPr="002B3A36">
        <w:rPr>
          <w:i/>
          <w:iCs/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режиму.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 — одна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єдиного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фонду.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категорія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територіальною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базою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комунально-побутовими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транспортними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будівлями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цілях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житлово-комунальних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проживає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FD9AB7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своїм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цільовим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однорідні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угіддя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природоохоронного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оздоровчого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рекреаційного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історико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-культурного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транспорту,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зв'язку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13FF05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Складові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різне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цільове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Але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правовий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режим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задачі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роду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пункту.</w:t>
      </w:r>
    </w:p>
    <w:p w14:paraId="770EBFEC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важлива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До них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забудовані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підлягають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побутовими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виробничими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складськими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релігійними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будівлями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установам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експлуатації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виробничих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релігійних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E0F21C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селищах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пунктах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як шляхи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сполучення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провулки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проїзди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проїжджі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набережні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),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культурнопобутових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(парки,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лісопарки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сквери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сади,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бульвари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водоймища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пляжі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полігонів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захоронення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неутилізованих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відходів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полігонів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сміттєпереробних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селища,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пункту.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землях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конкретним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73B1A9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пунктів</w:t>
      </w:r>
      <w:proofErr w:type="spellEnd"/>
      <w:r w:rsidRPr="002B3A36">
        <w:rPr>
          <w:b/>
          <w:bCs/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лежить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951149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Закону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квітня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2000 р. №1699 "Про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створенні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впровадженні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ухваленні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087B41" w14:textId="202410A2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кодексом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проектами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планіровки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устрою.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Проекти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планіровки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напрямки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благоустрою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93D831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 земельно-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устрою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генерального плану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Радою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 План земельно-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устрою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виконуватись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розділ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генерального плану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затверджуватись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CF1600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 земельно-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устрою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використовуватись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обгрунтування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розробки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подальшого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землях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необхідного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організаційних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інженерно-технічних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освоєнню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поліпшенню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раціональному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охороні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руйнівних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DB931C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загальнодержавному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регіональному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рівнях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4F7E95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68A83E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праві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власниками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користувачами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14:paraId="1E0FEA39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вибору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вилучення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викупу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містобудівних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приймаються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межах,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погодженням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спеціально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уповноваженими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архітектури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87C7A6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Рішення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прийняті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законом,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обов'язковими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суб'єктів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складу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угіддя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парками,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водного,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повітряного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трубопроводного транспорту,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гірничої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.).</w:t>
      </w:r>
    </w:p>
    <w:p w14:paraId="0E1B4E74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смуга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зовнішньою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межею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шо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відокремлює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прилеглих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лісового</w:t>
      </w:r>
      <w:proofErr w:type="spellEnd"/>
      <w:r w:rsidRPr="002B3A36"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фонду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). Межа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проектом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планіровкн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техніко-економічним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обгрунтуванням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Вона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 порядку</w:t>
      </w:r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шо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Верховною Радою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меж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тягне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собою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права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права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буде проведено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вилучення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викуп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69C9B8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вилучення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проектів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планіровки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421792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віданні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Ради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безпосереднє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землями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функціями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землями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вилучення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облік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земель; контроль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BDB078" w14:textId="3657FECA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організаціями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безплатне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громадське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Юридичною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підставою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акт про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земельноїділянки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Окремі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сквери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актом.</w:t>
      </w:r>
    </w:p>
    <w:p w14:paraId="05C48909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пунктів</w:t>
      </w:r>
      <w:proofErr w:type="spellEnd"/>
    </w:p>
    <w:p w14:paraId="1DBF3736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До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належать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межах,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установлених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в порядку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присадибним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майдани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проїзди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парки,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стадіони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колгоспні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ринки,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кладовища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непродуктивні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DFEBE3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закріплені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— для культурно-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кооперативних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ними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цільовим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перебувають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віданні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A466DB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встановлюються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районною,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підпорядкуванні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район, Радою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672F92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проектів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планіровки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індивідуального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гаражного і дачного</w:t>
      </w:r>
      <w:r w:rsidRPr="002B3A36">
        <w:rPr>
          <w:b/>
          <w:bCs/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будівництва</w:t>
      </w:r>
      <w:proofErr w:type="spellEnd"/>
    </w:p>
    <w:p w14:paraId="72C1E06F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будинків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гаражів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дач.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будинків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службово-господарських</w:t>
      </w:r>
      <w:proofErr w:type="spellEnd"/>
      <w:r w:rsidRPr="002B3A36"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присадибна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 селах</w:t>
      </w:r>
      <w:proofErr w:type="gram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-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0,25 гектара, в селищах -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0,15 гектара,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-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0,10 гектара.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відведена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повинна бути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використана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 При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перевищенні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встановленого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терміну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застосовують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забудовника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санкції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F8B9B3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дачного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вирощування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овочів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ягід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фруктів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квітів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дачного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0,1 гектара.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гаражного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спорудження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автомобілей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гаражів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—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0,01 гектара.</w:t>
      </w:r>
    </w:p>
    <w:p w14:paraId="120EEDC0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виробничої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міста, селища міського типу, селища сільського і дачного типу.</w:t>
      </w:r>
    </w:p>
    <w:p w14:paraId="7A8D0038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селища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 проводиться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величини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характеру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виробничої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До селищ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типу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фабрично-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заводські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залізничні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зайнятий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транспорті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88FF13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класифікації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типом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поселення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загальному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можливістю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особового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складу,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поверхів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вогнестійкістю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антисейсмічністю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наявністю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комунальнопобутових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військ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5C97E5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політико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значенням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42C925C" w14:textId="77777777" w:rsid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Такий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прийнятою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класифікацією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великі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000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50 000 до 100 000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50 000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Селища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2000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2000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Селища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дачного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типів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2D752C3C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На даний час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ситуація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відносинах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залишається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складною.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Найгострішими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проблемами є: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неврегульованість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ринку земель,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недосконалість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ресурсами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земель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інше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D1DA8D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райони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селища, села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мірою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забезпечені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відповідними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землевпорядними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планово-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картографічними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ґрунтовими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землеоціночними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матеріалами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містобудівною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документацією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Не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винесено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натуру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більшості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конфліктних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сплаті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особам.</w:t>
      </w:r>
    </w:p>
    <w:p w14:paraId="1313814A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обсяг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прийнятих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підзаконних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суперечливі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ускладнює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вимагає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обсягів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закріплення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меж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правоустановчих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мірі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залежать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обсягів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C63606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важливу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роль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ресурсами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міські</w:t>
      </w:r>
      <w:proofErr w:type="spellEnd"/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закон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надає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широкі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 і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тому на них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лежить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Ради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виконавчі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зручного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громад. Тому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депутати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рад,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зобов’язані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добре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розумітися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як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технічній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так і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правовій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стороні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ресурсами.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неухильне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усіх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винятку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землекористувачів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землевласників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пункту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основ,</w:t>
      </w:r>
      <w:r w:rsidRPr="002B3A36">
        <w:rPr>
          <w:color w:val="000000"/>
          <w:sz w:val="28"/>
          <w:szCs w:val="28"/>
        </w:rPr>
        <w:br/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практичного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набуває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особливого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нинішній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час, коли земля як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засіб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включається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економічний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обіг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B806B9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ресурсами 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розглядати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суперечливих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напрямах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індивідуальне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Перший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спрямований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інтересами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другий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інтересами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власника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базуватися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цілісній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збалансованій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науково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обґрунтованій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концепції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A81BA8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будьяких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утворень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пріоритети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сталого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на державному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рівні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. Для кожного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характерні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свої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об’єктивно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обумовлені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масштабами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ступені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конкретизації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деталізації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шляхів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B3B1C9" w14:textId="77777777" w:rsidR="00F512DD" w:rsidRDefault="002B3A36" w:rsidP="00F512DD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методологічному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розумінні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напрямами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пунктах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FA8895B" w14:textId="77777777" w:rsidR="00F512DD" w:rsidRDefault="002B3A36" w:rsidP="00F512DD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1)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узгодженість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приватними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громадськими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державними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інтересами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C1D5136" w14:textId="77777777" w:rsidR="00F512DD" w:rsidRDefault="002B3A36" w:rsidP="00F512DD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2)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відкритість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земель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розподілом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F35A223" w14:textId="54EFBC72" w:rsidR="00F512DD" w:rsidRDefault="002B3A36" w:rsidP="00F512DD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ґарантія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D1B942C" w14:textId="7777777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4)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достовірність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обмежень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437397A" w14:textId="225C9AC7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5)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стабільність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типів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E04328C" w14:textId="5213DC88" w:rsidR="00F512DD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A36">
        <w:rPr>
          <w:rFonts w:ascii="Times New Roman" w:hAnsi="Times New Roman" w:cs="Times New Roman"/>
          <w:color w:val="000000"/>
          <w:sz w:val="28"/>
          <w:szCs w:val="28"/>
        </w:rPr>
        <w:t>6)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найдоцільнішого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власником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користувачем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E300D1" w14:textId="0A87924C" w:rsidR="00DB5DCC" w:rsidRPr="002B3A36" w:rsidRDefault="002B3A36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Систематизація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сукупності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світі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відносинами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дали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поєднати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п’ять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стосовно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відносинами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правові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планувальні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адміністративні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судочинства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Отже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в практику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землекористуванням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адекватних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сучасним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умовам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сприятиме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збереженню</w:t>
      </w:r>
      <w:proofErr w:type="spellEnd"/>
      <w:r w:rsidRPr="002B3A36"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збалансованого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демократизації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2B3A36">
        <w:rPr>
          <w:color w:val="000000"/>
          <w:sz w:val="28"/>
          <w:szCs w:val="28"/>
        </w:rPr>
        <w:br/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3A36">
        <w:rPr>
          <w:rFonts w:ascii="Times New Roman" w:hAnsi="Times New Roman" w:cs="Times New Roman"/>
          <w:color w:val="000000"/>
          <w:sz w:val="28"/>
          <w:szCs w:val="28"/>
        </w:rPr>
        <w:t>забезпеченню</w:t>
      </w:r>
      <w:proofErr w:type="spellEnd"/>
      <w:r w:rsidRPr="002B3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01"/>
        </w:rPr>
        <w:t>правової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захищеності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власників</w:t>
      </w:r>
      <w:proofErr w:type="spellEnd"/>
      <w:r>
        <w:rPr>
          <w:rStyle w:val="fontstyle01"/>
        </w:rPr>
        <w:t xml:space="preserve"> та </w:t>
      </w:r>
      <w:proofErr w:type="spellStart"/>
      <w:r>
        <w:rPr>
          <w:rStyle w:val="fontstyle01"/>
        </w:rPr>
        <w:t>їх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капіталовкладень</w:t>
      </w:r>
      <w:proofErr w:type="spellEnd"/>
      <w:r>
        <w:rPr>
          <w:rStyle w:val="fontstyle01"/>
          <w:lang w:val="uk-UA"/>
        </w:rPr>
        <w:t>.</w:t>
      </w:r>
    </w:p>
    <w:p w14:paraId="301281F0" w14:textId="510F9DD7" w:rsidR="00DB5DCC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DB800" w14:textId="77777777" w:rsidR="00B309CB" w:rsidRPr="00B309CB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9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2. </w:t>
      </w:r>
      <w:proofErr w:type="spellStart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Дозвіл</w:t>
      </w:r>
      <w:proofErr w:type="spellEnd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використання</w:t>
      </w:r>
      <w:proofErr w:type="spellEnd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забудову</w:t>
      </w:r>
      <w:proofErr w:type="spellEnd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309CB" w:rsidRPr="00B309C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територій</w:t>
      </w:r>
      <w:proofErr w:type="spellEnd"/>
      <w:r w:rsidR="00B309CB" w:rsidRPr="00B309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3338D38" w14:textId="3B8AFFA2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ЗУ «Про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17 лютого 2011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Times New Roman" w:hAnsi="Times New Roman" w:cs="Times New Roman"/>
          <w:color w:val="000000"/>
          <w:sz w:val="28"/>
          <w:szCs w:val="28"/>
        </w:rPr>
        <w:t>року: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текстові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графічні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питань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проектна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текстові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графічні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якими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об'ємно-планувальні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архітектурні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конструктивні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технологічні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кошториси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пункту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принципові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пункту;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детальний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планувальну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замовник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юридична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особа, яка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намір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однієї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декількох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) і подала в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установленому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відповідну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текстові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графічні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Symbol" w:hAnsi="Symbol"/>
          <w:color w:val="000000"/>
          <w:sz w:val="28"/>
          <w:szCs w:val="28"/>
        </w:rPr>
        <w:t xml:space="preserve">•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) - документ,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планувальних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архітектурних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поверховості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щільності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відступів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будинків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червоних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ліній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, меж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благоустрою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озеленення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містобудівною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документацією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ст. 2 ЗУ «Про </w:t>
      </w:r>
      <w:proofErr w:type="spellStart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регулювання</w:t>
      </w:r>
      <w:proofErr w:type="spellEnd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містобудівної</w:t>
      </w:r>
      <w:proofErr w:type="spellEnd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діяльності</w:t>
      </w:r>
      <w:proofErr w:type="spellEnd"/>
      <w:r w:rsidRPr="00DB5D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DB5DCC">
        <w:rPr>
          <w:i/>
          <w:iCs/>
          <w:color w:val="000000"/>
          <w:sz w:val="28"/>
          <w:szCs w:val="28"/>
        </w:rPr>
        <w:br/>
      </w: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46D994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прогнозування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316980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напрямів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сталого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територій;</w:t>
      </w:r>
    </w:p>
    <w:p w14:paraId="1050B3D3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обґрунтування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земель за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цільовим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7DA2CF1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взаємоузгодження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приватних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B6C28B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взаємне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зон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житлової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громадської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виробничих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рекреаційних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природоохоронних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історикокультурних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зон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3C89E0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передбачено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діяльності;</w:t>
      </w:r>
    </w:p>
    <w:p w14:paraId="16057C77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проектної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5E0C04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реконструкцію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існуючої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територій;</w:t>
      </w:r>
    </w:p>
    <w:p w14:paraId="5C6D43D6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рекреаційних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природоохоронних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ландшафтів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лісів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парків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скверів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зелених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насаджень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0CFD93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інженерно-транспортної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інфраструктури;</w:t>
      </w:r>
    </w:p>
    <w:p w14:paraId="1D493BFF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lastRenderedPageBreak/>
        <w:t>10</w:t>
      </w:r>
      <w:r w:rsidRPr="00DB5DCC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безперешкодного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життєвого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обмеженими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можливостями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маломобільних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610272A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4D9FFEE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кадастру;</w:t>
      </w:r>
    </w:p>
    <w:p w14:paraId="5B88FCBE" w14:textId="77777777" w:rsidR="00F512DD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у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B5DCC">
        <w:rPr>
          <w:color w:val="000000"/>
          <w:sz w:val="28"/>
          <w:szCs w:val="28"/>
        </w:rPr>
        <w:br/>
      </w: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Інструментом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поділяється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документацію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державного,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регіонального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рівнів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273026" w14:textId="1DD48538" w:rsidR="00DB5DCC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документація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розробляється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паперових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носіях</w:t>
      </w:r>
      <w:proofErr w:type="spellEnd"/>
      <w:r w:rsidRPr="00DB5DCC">
        <w:rPr>
          <w:color w:val="000000"/>
          <w:sz w:val="28"/>
          <w:szCs w:val="28"/>
        </w:rPr>
        <w:br/>
      </w:r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оновленій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картографічній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цифровій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набори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профільних</w:t>
      </w:r>
      <w:proofErr w:type="spellEnd"/>
      <w:r w:rsidRPr="00DB5DCC">
        <w:rPr>
          <w:color w:val="000000"/>
          <w:sz w:val="28"/>
          <w:szCs w:val="28"/>
        </w:rPr>
        <w:br/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геопросторових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державній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геодезичній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координат УСК-2000 і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єдиній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класифікації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кодування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баз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F512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B5DCC">
        <w:rPr>
          <w:rFonts w:ascii="Times New Roman" w:hAnsi="Times New Roman" w:cs="Times New Roman"/>
          <w:color w:val="000000"/>
          <w:sz w:val="28"/>
          <w:szCs w:val="28"/>
        </w:rPr>
        <w:t>містобудівного</w:t>
      </w:r>
      <w:proofErr w:type="spellEnd"/>
      <w:r w:rsidRPr="00DB5DCC">
        <w:rPr>
          <w:rFonts w:ascii="Times New Roman" w:hAnsi="Times New Roman" w:cs="Times New Roman"/>
          <w:color w:val="000000"/>
          <w:sz w:val="28"/>
          <w:szCs w:val="28"/>
        </w:rPr>
        <w:t xml:space="preserve"> кадастру.</w:t>
      </w:r>
    </w:p>
    <w:p w14:paraId="57EFA206" w14:textId="1F27A5EF" w:rsidR="00DB5DCC" w:rsidRDefault="00DB5DCC" w:rsidP="00DB5DCC">
      <w:pPr>
        <w:spacing w:after="0" w:line="276" w:lineRule="auto"/>
        <w:ind w:left="-567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DD6E95" w14:textId="0D03C5A1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09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 </w:t>
      </w:r>
      <w:proofErr w:type="spellStart"/>
      <w:r w:rsidRPr="00B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Ведення</w:t>
      </w:r>
      <w:proofErr w:type="spellEnd"/>
      <w:r w:rsidRPr="00B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містобудівного</w:t>
      </w:r>
      <w:proofErr w:type="spellEnd"/>
      <w:r w:rsidRPr="00B3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кадастру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КАБІНЕТУ МІНІСТРІВ УКРАЇНИ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 р. N 559 «Про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кадастр».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порядок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</w:p>
    <w:p w14:paraId="4DE9F666" w14:textId="21164885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такому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5368721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геопортал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інтернет-засобів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до них та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A20B71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місцезнаходженням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просторовочасових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координат;</w:t>
      </w:r>
    </w:p>
    <w:p w14:paraId="2EC3B48F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топографо-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14:paraId="6A5DA176" w14:textId="54828C34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інтероперабельність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склад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нормами,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стандартами і правилами,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базах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</w:t>
      </w:r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поіменованих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масиви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CC6ABA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система) -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інформаційно-телекомунікаційних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системах";</w:t>
      </w:r>
    </w:p>
    <w:p w14:paraId="68CD44EE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документ,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запитувані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споживачем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кадастру;</w:t>
      </w:r>
    </w:p>
    <w:p w14:paraId="5188AA9D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-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лінгвістичних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актуалізацію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8A5831D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270191E9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7BB844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веб-сайтах органу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друкованих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256077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зберігаються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</w:t>
      </w:r>
      <w:proofErr w:type="spellEnd"/>
      <w:r w:rsidR="00F5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ласниками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F31330A" w14:textId="77777777" w:rsid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програмно-технічні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1AC5F3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система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система,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підлягають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цифрового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3AE008C3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уніфікована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документообігу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кадастрового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формалізований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контролю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Земельному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A4AEA2" w14:textId="1B1050AE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надзвичайних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техногенного і природного характеру,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надмірній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надійне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інженерно-транспортної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раціональне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статусом, у тому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історико-культурної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земель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інтересах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сталого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FE9816" w14:textId="46B16ED0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принципами:</w:t>
      </w:r>
    </w:p>
    <w:p w14:paraId="5177CF00" w14:textId="33A1BDE4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161CE3" w14:textId="07E403F0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EAFD8C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gram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порядку</w:t>
      </w:r>
      <w:proofErr w:type="gram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4BC176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39E9A042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64AECEAA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CE607A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безперервності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3C1444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інтероперабельності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 державного земельного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B132E9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постачання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</w:p>
    <w:p w14:paraId="123F1FC0" w14:textId="24FEC771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розподілена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геоінформаційна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 на державному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Республіки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районному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Києва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Севастополя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республіканського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Автономної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Республіки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167E2C" w14:textId="5D35FCF6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системах координат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66F8DE" w14:textId="7B364B12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Мінрегіоном.</w:t>
      </w:r>
    </w:p>
    <w:p w14:paraId="7F0C5708" w14:textId="641612F4" w:rsidR="004B0BC2" w:rsidRDefault="00B309CB" w:rsidP="00B309CB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</w:t>
      </w:r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F916CC2" w14:textId="3DE204AA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Мінрегіоном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66CBD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кадастру</w:t>
      </w:r>
    </w:p>
    <w:p w14:paraId="3786FD7E" w14:textId="22D9C86C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A89CB8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структуру;</w:t>
      </w:r>
    </w:p>
    <w:p w14:paraId="47995220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80FB7A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3F98203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каталоги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92624D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A6BEDD" w14:textId="17EAA8D6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5BC5CD" w14:textId="77777777" w:rsidR="00B309CB" w:rsidRDefault="00B309CB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5A86D" w14:textId="6DAAD7A0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належать:</w:t>
      </w:r>
    </w:p>
    <w:p w14:paraId="6CC34D7F" w14:textId="6CB4B7A2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F9EB5F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Мінрегіон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AF9483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Мінагрополітики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топографо-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75A4CD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архітектури;</w:t>
      </w:r>
    </w:p>
    <w:p w14:paraId="11751A4B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оновлюють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обробляють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постачають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</w:p>
    <w:p w14:paraId="123D0D74" w14:textId="708C265C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складу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110C5A" w14:textId="3ED14A4C" w:rsidR="004B0BC2" w:rsidRDefault="00DB5DCC" w:rsidP="00B309CB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постачання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в тому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CEDF7F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Мінрегіон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правил;</w:t>
      </w:r>
    </w:p>
    <w:p w14:paraId="2606A3B1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Держземагентство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топографо-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земельного кадастру;</w:t>
      </w:r>
    </w:p>
    <w:p w14:paraId="53517E46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Мінприроди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територіальне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охоронюваних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територіях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родовищ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копалин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Державного фонду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родовищ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копалин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Державного фонду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надр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A907B9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Держводагентство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водокористування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державного водного кадастру,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шкідливої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водопроводів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систем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водопостачання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каналізації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гідротехнічних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меліоративних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т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о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кремих об'єктів інженерної інфраструктури, водогосподарських об'єктів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багатоцільового використання;</w:t>
      </w:r>
    </w:p>
    <w:p w14:paraId="588175C9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• </w:t>
      </w:r>
      <w:proofErr w:type="spellStart"/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Держлісагентство</w:t>
      </w:r>
      <w:proofErr w:type="spellEnd"/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 інформацію про облік лісів та державний лісовий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кадастр, лісовпорядкування та мисливське впорядкування;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ДСНС - за інформацію про надзвичайні ситуації природного та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техногенного характеру, які спричинили зміну об'єктів місцевості;</w:t>
      </w:r>
    </w:p>
    <w:p w14:paraId="11940D24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• </w:t>
      </w:r>
      <w:proofErr w:type="spellStart"/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Мінінфраструктури</w:t>
      </w:r>
      <w:proofErr w:type="spellEnd"/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 інформацію про діяльність в області будівництва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та експлуатації транспортної інфраструктури (фактичної та на перспективу), про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туристичні ресурси України, дані з Державного кадастру природних територій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курортів України;</w:t>
      </w:r>
    </w:p>
    <w:p w14:paraId="1AE1F5ED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• Мінкультури - за дані обліку об'єктів культурної спадщини;</w:t>
      </w:r>
    </w:p>
    <w:p w14:paraId="1D1E9415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МОЗ - за дані з Державного кадастру природних лікувальних ресурсів;</w:t>
      </w:r>
    </w:p>
    <w:p w14:paraId="67155F53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проектні, вишукувальні та будівельні організації - за матеріали і дані щодо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проведених проектних інженерно-геодезичних, інженерно-геологічних будівельних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 вишукувальних робіт та інформацію про встановлені обмеження використання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 в затверджених проектах;</w:t>
      </w:r>
    </w:p>
    <w:p w14:paraId="3256535B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органи державної статистики - за відомості щодо галузевої структури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господарства територіального об'єкта, населення, наявності та споживання природних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ресурсів тощо;</w:t>
      </w:r>
    </w:p>
    <w:p w14:paraId="589C574C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галузеві кадастрові та інші інформаційні служби - за дані, що стосуються</w:t>
      </w:r>
      <w:r w:rsidRP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відповідних одиниць обліку територіальних об'єктів.</w:t>
      </w:r>
    </w:p>
    <w:p w14:paraId="52485958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Порядок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Мінрегіоном.</w:t>
      </w:r>
    </w:p>
    <w:p w14:paraId="778D92FB" w14:textId="549B950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загальнодержавного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геопорталів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актуалізацію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1BD624" w14:textId="4C68C693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районного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пунктах 28 - 31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C3C840" w14:textId="7F4143DE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нормами,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стандартами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правилами,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Мінрегіоном.</w:t>
      </w:r>
    </w:p>
    <w:p w14:paraId="7A965801" w14:textId="1E5CB762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склад, структуру,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виробників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AD3701" w14:textId="58C38E05" w:rsidR="004B0BC2" w:rsidRDefault="00B309CB" w:rsidP="00B309CB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упорядковані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виробляються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розміщуються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рівнів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мережі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геопорталів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умов доступу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сервісів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</w:t>
      </w:r>
    </w:p>
    <w:p w14:paraId="408BAA7C" w14:textId="7E67F2D1" w:rsidR="004B0BC2" w:rsidRDefault="00B309CB" w:rsidP="00B309CB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створюється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обслуговується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</w:t>
      </w:r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геопорталів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такими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сервісами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="00DB5DCC"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систем:</w:t>
      </w:r>
    </w:p>
    <w:p w14:paraId="16323CD6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мережах;</w:t>
      </w:r>
    </w:p>
    <w:p w14:paraId="64D3EE78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перегляду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характеристики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метаданих;</w:t>
      </w:r>
    </w:p>
    <w:p w14:paraId="3BE6B41E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копій;</w:t>
      </w:r>
    </w:p>
    <w:p w14:paraId="47F6B39E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сервіси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5A8171" w14:textId="2CDC1136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лінгвістичні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кадастру:</w:t>
      </w:r>
    </w:p>
    <w:p w14:paraId="0AAE3833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документованими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уніфікованої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документообігу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28622F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6D85CD1E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актуалізація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недіючими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70D0C4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геопросторових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777A2758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капітального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реєстраційним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номером, координатами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номером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реквізитами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документа;</w:t>
      </w:r>
    </w:p>
    <w:p w14:paraId="14CAA9C7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друкованому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420360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друкованому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8885D2" w14:textId="05C01D08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уніфікованої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електронного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документообігу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кадастрового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кадастру.</w:t>
      </w:r>
    </w:p>
    <w:p w14:paraId="1832F477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кадастру</w:t>
      </w:r>
    </w:p>
    <w:p w14:paraId="53D04366" w14:textId="0F0261CB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</w:t>
      </w:r>
    </w:p>
    <w:p w14:paraId="5915B59D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Закон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14:paraId="332350A4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кадастрами,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порядок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картографо-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геодезичного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BBFDCD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Службу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поіменованих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6E0A99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нормативно-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прямого доступу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кадастру.</w:t>
      </w:r>
    </w:p>
    <w:p w14:paraId="20FD69A8" w14:textId="0CA814EA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службу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визначаються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комп'ютерною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технікою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меблями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кадастрової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3503C5" w14:textId="2A5B0EAA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спрямовують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служб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(у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такими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3E126D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в тому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науково-дослідних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1EEE5E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черговості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D106C8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684063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практику</w:t>
      </w:r>
      <w:proofErr w:type="gram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організаційно-правових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нормативно-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програмно-технологічних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694FCAB2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ED7429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записки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DF83F8" w14:textId="3FFF7A52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актуалізації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відомостей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суб'єктів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забудови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A44F97" w14:textId="2D5CF323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державному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про:</w:t>
      </w:r>
    </w:p>
    <w:p w14:paraId="6C68C2CE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планово-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Держземагентством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D77820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кордон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адміністративно-територіальних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кадастру;</w:t>
      </w:r>
    </w:p>
    <w:p w14:paraId="440F7088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5AD705" w14:textId="77777777" w:rsidR="004B0BC2" w:rsidRDefault="00DB5DCC" w:rsidP="004B0BC2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4A0F0B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сейсмічного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систем;</w:t>
      </w:r>
    </w:p>
    <w:p w14:paraId="396BA96C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нормативно-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6D834F" w14:textId="76AF08D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про:</w:t>
      </w:r>
    </w:p>
    <w:p w14:paraId="2D2188B8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Республіки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областей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 і планово-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державного земельного кадастру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ACB8CC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адміністративно-територіальних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державного земельного кадастру;</w:t>
      </w:r>
    </w:p>
    <w:p w14:paraId="6B5ED126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Республіки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областей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межами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9033AF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зонінгів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9090BE" w14:textId="7F28A075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з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сейсмічного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систем;</w:t>
      </w:r>
    </w:p>
    <w:p w14:paraId="4C3A0C68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нормативно-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29B612" w14:textId="3E514304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районному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про: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карт, планово-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</w:t>
      </w:r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району;</w:t>
      </w:r>
    </w:p>
    <w:p w14:paraId="44F8B14C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адміністративно-територіальних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державного земельного кадастру;</w:t>
      </w:r>
    </w:p>
    <w:p w14:paraId="367A4D5D" w14:textId="77777777" w:rsidR="004B0BC2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районного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межами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BA6F5A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селищ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та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зонінги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історико-архітектурні</w:t>
      </w:r>
      <w:proofErr w:type="spellEnd"/>
      <w:r w:rsidR="004B0B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пункту</w:t>
      </w:r>
      <w:proofErr w:type="gram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95B06D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з</w:t>
      </w:r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34F0CE" w14:textId="7E447525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про: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планово-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картографічної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</w:t>
      </w:r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кадастру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інженерно-геодезичних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знімань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будівництвом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FDF121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адміністративно-територіальних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кадастру;</w:t>
      </w:r>
    </w:p>
    <w:p w14:paraId="3AC9BB7B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зонінги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історикоархітектурний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економіко-планувальних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угіддя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цільове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нормативна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грошова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зазначається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вид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права),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земельного кадастру;</w:t>
      </w:r>
    </w:p>
    <w:p w14:paraId="0940A1FB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інженерно-транспортну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 і</w:t>
      </w:r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історико-культурну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технічної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інвентаризації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0E9E1F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пам'ятки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історико-культурної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спадщини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AF4243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поіменованих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присвоєння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998943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зареєстрованих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</w:t>
      </w:r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</w:p>
    <w:p w14:paraId="331BFAED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CA6A74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інженерно-геологічні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гідрометеорологічних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радіологічних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санітарногігієнічних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сейсмічного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гідрогеологічного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04DD31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нормативно-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правила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971238" w14:textId="3EE45C33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кадастру,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поновлення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визначаються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заінтересованими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органами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самоврядування.</w:t>
      </w:r>
    </w:p>
    <w:p w14:paraId="0BA87387" w14:textId="3F77D62B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достовірність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віднесено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BA46C1" w14:textId="4607B10C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підлягає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DBF317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первинне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вхідний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базу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кадастру;</w:t>
      </w:r>
    </w:p>
    <w:p w14:paraId="6DE43B34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геопорталу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329866EB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архівування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кадастрами,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інформаційними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системами;</w:t>
      </w:r>
    </w:p>
    <w:p w14:paraId="48ED69F5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несанкціонованого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7654C1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видачу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порядку</w:t>
      </w:r>
      <w:proofErr w:type="gram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встановленому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D4F0AC" w14:textId="77777777" w:rsidR="00B0229A" w:rsidRDefault="00DB5DCC" w:rsidP="00B0229A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стан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стан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відповідній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290B8A" w14:textId="77777777" w:rsidR="00B0229A" w:rsidRDefault="00DB5DCC" w:rsidP="00B0229A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метаданих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анкціонованого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DC9E88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прямого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санкціонованого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 до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B02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31377278" w14:textId="77777777" w:rsidR="00B0229A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кадастру;</w:t>
      </w:r>
    </w:p>
    <w:p w14:paraId="4F158EED" w14:textId="2297B640" w:rsidR="00DB5DCC" w:rsidRPr="00F512DD" w:rsidRDefault="00DB5DCC" w:rsidP="00F512DD">
      <w:pPr>
        <w:spacing w:after="0" w:line="276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містобудівного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кадастру,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визначеної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</w:t>
      </w:r>
      <w:proofErr w:type="spellEnd"/>
      <w:r w:rsidRPr="00F5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DB5DCC" w:rsidRPr="00F512DD" w:rsidSect="003523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98"/>
    <w:rsid w:val="002B3A36"/>
    <w:rsid w:val="00352395"/>
    <w:rsid w:val="003811ED"/>
    <w:rsid w:val="004509E0"/>
    <w:rsid w:val="004B0BC2"/>
    <w:rsid w:val="00786498"/>
    <w:rsid w:val="008716D8"/>
    <w:rsid w:val="0096768F"/>
    <w:rsid w:val="00B0229A"/>
    <w:rsid w:val="00B309CB"/>
    <w:rsid w:val="00DB5DCC"/>
    <w:rsid w:val="00F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4B40"/>
  <w15:chartTrackingRefBased/>
  <w15:docId w15:val="{D13B4577-D913-4CCC-84E1-F13D265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B5D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B5DC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B5DC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7244</Words>
  <Characters>41297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2022-08-26T16:45:00Z</dcterms:created>
  <dcterms:modified xsi:type="dcterms:W3CDTF">2023-01-24T09:49:00Z</dcterms:modified>
</cp:coreProperties>
</file>