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25" w:rsidRPr="006A7B7D" w:rsidRDefault="00865D25" w:rsidP="00865D25">
      <w:pPr>
        <w:pStyle w:val="2"/>
        <w:spacing w:before="71"/>
        <w:ind w:left="630" w:right="1021"/>
        <w:jc w:val="center"/>
        <w:rPr>
          <w:lang w:val="ru-RU"/>
        </w:rPr>
      </w:pPr>
      <w:r>
        <w:t>ЛАБОРАТОРНА</w:t>
      </w:r>
      <w:r>
        <w:rPr>
          <w:spacing w:val="58"/>
        </w:rPr>
        <w:t xml:space="preserve"> </w:t>
      </w:r>
      <w:r>
        <w:t>РОБОТА</w:t>
      </w:r>
      <w:r>
        <w:rPr>
          <w:spacing w:val="56"/>
        </w:rPr>
        <w:t xml:space="preserve"> </w:t>
      </w:r>
      <w:r w:rsidR="006A7B7D">
        <w:t>№</w:t>
      </w:r>
      <w:r w:rsidR="006A7B7D">
        <w:rPr>
          <w:lang w:val="ru-RU"/>
        </w:rPr>
        <w:t>7</w:t>
      </w:r>
    </w:p>
    <w:p w:rsidR="00865D25" w:rsidRDefault="00865D25" w:rsidP="00865D25">
      <w:pPr>
        <w:pStyle w:val="a3"/>
        <w:rPr>
          <w:b/>
        </w:rPr>
      </w:pPr>
    </w:p>
    <w:p w:rsidR="00865D25" w:rsidRDefault="006A7B7D" w:rsidP="002A2023">
      <w:pPr>
        <w:pStyle w:val="a3"/>
        <w:spacing w:before="7"/>
        <w:rPr>
          <w:b/>
          <w:sz w:val="23"/>
        </w:rPr>
      </w:pPr>
      <w:r w:rsidRPr="006A7B7D">
        <w:rPr>
          <w:rFonts w:eastAsia="Arial Unicode MS"/>
          <w:b/>
          <w:color w:val="000000"/>
          <w:lang w:eastAsia="ru-RU"/>
        </w:rPr>
        <w:t xml:space="preserve">Тема 11. Легкі </w:t>
      </w:r>
      <w:r w:rsidRPr="006A7B7D">
        <w:rPr>
          <w:rFonts w:eastAsia="Malgun Gothic Semilight"/>
          <w:b/>
          <w:color w:val="000000"/>
          <w:lang w:eastAsia="ru-RU"/>
        </w:rPr>
        <w:t>бетони</w:t>
      </w:r>
      <w:r w:rsidRPr="006A7B7D">
        <w:rPr>
          <w:rFonts w:eastAsia="Arial Unicode MS"/>
          <w:b/>
          <w:color w:val="000000"/>
          <w:lang w:eastAsia="ru-RU"/>
        </w:rPr>
        <w:t xml:space="preserve"> </w:t>
      </w:r>
      <w:r w:rsidRPr="006A7B7D">
        <w:rPr>
          <w:rFonts w:eastAsia="Malgun Gothic Semilight"/>
          <w:b/>
          <w:color w:val="000000"/>
          <w:lang w:eastAsia="ru-RU"/>
        </w:rPr>
        <w:t>та</w:t>
      </w:r>
      <w:r w:rsidRPr="006A7B7D">
        <w:rPr>
          <w:rFonts w:eastAsia="Arial Unicode MS"/>
          <w:b/>
          <w:color w:val="000000"/>
          <w:lang w:eastAsia="ru-RU"/>
        </w:rPr>
        <w:t xml:space="preserve"> </w:t>
      </w:r>
      <w:r w:rsidRPr="006A7B7D">
        <w:rPr>
          <w:rFonts w:eastAsia="Malgun Gothic Semilight"/>
          <w:b/>
          <w:color w:val="000000"/>
          <w:lang w:eastAsia="ru-RU"/>
        </w:rPr>
        <w:t>буд</w:t>
      </w:r>
      <w:r w:rsidRPr="006A7B7D">
        <w:rPr>
          <w:rFonts w:eastAsia="Arial Unicode MS"/>
          <w:b/>
          <w:color w:val="000000"/>
          <w:lang w:eastAsia="ru-RU"/>
        </w:rPr>
        <w:t>і</w:t>
      </w:r>
      <w:r w:rsidRPr="006A7B7D">
        <w:rPr>
          <w:rFonts w:eastAsia="Malgun Gothic Semilight"/>
          <w:b/>
          <w:color w:val="000000"/>
          <w:lang w:eastAsia="ru-RU"/>
        </w:rPr>
        <w:t>вельн</w:t>
      </w:r>
      <w:r w:rsidRPr="006A7B7D">
        <w:rPr>
          <w:rFonts w:eastAsia="Arial Unicode MS"/>
          <w:b/>
          <w:color w:val="000000"/>
          <w:lang w:eastAsia="ru-RU"/>
        </w:rPr>
        <w:t xml:space="preserve">і </w:t>
      </w:r>
      <w:r w:rsidRPr="006A7B7D">
        <w:rPr>
          <w:rFonts w:eastAsia="Malgun Gothic Semilight"/>
          <w:b/>
          <w:color w:val="000000"/>
          <w:lang w:eastAsia="ru-RU"/>
        </w:rPr>
        <w:t>розчини</w:t>
      </w:r>
    </w:p>
    <w:p w:rsidR="006A7B7D" w:rsidRDefault="00865D25" w:rsidP="006A7B7D">
      <w:pPr>
        <w:ind w:right="1312"/>
        <w:rPr>
          <w:b/>
        </w:rPr>
      </w:pPr>
      <w:r>
        <w:rPr>
          <w:i/>
          <w:sz w:val="24"/>
        </w:rPr>
        <w:t>Лабораторна робота №1</w:t>
      </w:r>
      <w:r w:rsidR="006A7B7D" w:rsidRPr="006A7B7D">
        <w:rPr>
          <w:rFonts w:eastAsia="Arial Unicode MS"/>
          <w:color w:val="000000"/>
          <w:sz w:val="24"/>
          <w:szCs w:val="24"/>
          <w:lang w:val="uk" w:eastAsia="ru-RU"/>
        </w:rPr>
        <w:t xml:space="preserve"> </w:t>
      </w:r>
      <w:r w:rsidR="006A7B7D" w:rsidRPr="006A7B7D">
        <w:rPr>
          <w:rFonts w:eastAsia="Arial Unicode MS"/>
          <w:color w:val="000000"/>
          <w:sz w:val="24"/>
          <w:szCs w:val="24"/>
          <w:lang w:val="uk" w:eastAsia="ru-RU"/>
        </w:rPr>
        <w:t xml:space="preserve">Визначення рухомості </w:t>
      </w:r>
      <w:r w:rsidR="006A7B7D" w:rsidRPr="006A7B7D">
        <w:rPr>
          <w:rFonts w:eastAsia="Malgun Gothic Semilight"/>
          <w:color w:val="000000"/>
          <w:sz w:val="24"/>
          <w:szCs w:val="24"/>
          <w:lang w:val="uk" w:eastAsia="ru-RU"/>
        </w:rPr>
        <w:t>розчину</w:t>
      </w:r>
      <w:r w:rsidR="006A7B7D">
        <w:rPr>
          <w:b/>
        </w:rPr>
        <w:t xml:space="preserve"> </w:t>
      </w:r>
    </w:p>
    <w:p w:rsidR="00865D25" w:rsidRDefault="00865D25" w:rsidP="006A7B7D">
      <w:pPr>
        <w:ind w:right="1312"/>
      </w:pPr>
      <w:r>
        <w:rPr>
          <w:b/>
        </w:rPr>
        <w:t xml:space="preserve">Мета: </w:t>
      </w:r>
      <w:r>
        <w:t xml:space="preserve">навчитись визначати </w:t>
      </w:r>
      <w:r w:rsidR="006A7B7D" w:rsidRPr="006A7B7D">
        <w:rPr>
          <w:rFonts w:eastAsia="Arial Unicode MS"/>
          <w:color w:val="000000"/>
          <w:sz w:val="24"/>
          <w:szCs w:val="24"/>
          <w:lang w:val="uk" w:eastAsia="ru-RU"/>
        </w:rPr>
        <w:t xml:space="preserve">рухомості </w:t>
      </w:r>
      <w:r w:rsidR="006A7B7D" w:rsidRPr="006A7B7D">
        <w:rPr>
          <w:rFonts w:eastAsia="Malgun Gothic Semilight"/>
          <w:color w:val="000000"/>
          <w:sz w:val="24"/>
          <w:szCs w:val="24"/>
          <w:lang w:val="uk" w:eastAsia="ru-RU"/>
        </w:rPr>
        <w:t>розчину</w:t>
      </w:r>
    </w:p>
    <w:p w:rsidR="00865D25" w:rsidRDefault="00865D25" w:rsidP="00865D25">
      <w:pPr>
        <w:pStyle w:val="a3"/>
        <w:spacing w:before="5"/>
      </w:pPr>
    </w:p>
    <w:p w:rsidR="00865D25" w:rsidRDefault="00865D25" w:rsidP="00865D25">
      <w:pPr>
        <w:pStyle w:val="2"/>
        <w:ind w:left="631" w:right="1021"/>
        <w:jc w:val="center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865D25" w:rsidRDefault="00865D25" w:rsidP="00865D25">
      <w:pPr>
        <w:pStyle w:val="a3"/>
        <w:rPr>
          <w:b/>
        </w:rPr>
      </w:pPr>
    </w:p>
    <w:p w:rsidR="006A7B7D" w:rsidRPr="00703BDB" w:rsidRDefault="006A7B7D" w:rsidP="006A7B7D">
      <w:pPr>
        <w:jc w:val="both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Рухомістю розчинової суміші називають здатність суміші легко розтікатися по поверхні каменю тонким шаром і заповнювати усі його нерівності.</w:t>
      </w:r>
    </w:p>
    <w:p w:rsidR="006A7B7D" w:rsidRPr="00703BDB" w:rsidRDefault="006A7B7D" w:rsidP="006A7B7D">
      <w:pPr>
        <w:jc w:val="both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Рухомість визначають глибиною занурювання конуса приладу в розчинову суміш і виражають її у см.</w:t>
      </w:r>
    </w:p>
    <w:p w:rsidR="006A7B7D" w:rsidRDefault="006A7B7D" w:rsidP="006A7B7D">
      <w:pPr>
        <w:jc w:val="both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 xml:space="preserve">Рухомість розчинової суміші залежить від призначення розчину й встановлюється </w:t>
      </w:r>
    </w:p>
    <w:p w:rsidR="006A7B7D" w:rsidRPr="00703BDB" w:rsidRDefault="006A7B7D" w:rsidP="006A7B7D">
      <w:pPr>
        <w:jc w:val="both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ДСТУ БВ.2.7-23-95.</w:t>
      </w:r>
    </w:p>
    <w:p w:rsidR="00865D25" w:rsidRDefault="006A7B7D" w:rsidP="006A7B7D">
      <w:pPr>
        <w:pStyle w:val="a3"/>
        <w:ind w:left="226" w:right="616" w:firstLine="240"/>
        <w:jc w:val="center"/>
      </w:pPr>
      <w:r w:rsidRPr="00703BDB">
        <w:rPr>
          <w:color w:val="000000" w:themeColor="text1"/>
          <w:lang w:eastAsia="ru-RU"/>
        </w:rPr>
        <w:t>Марки розчинової суміші по рухомості.</w:t>
      </w:r>
    </w:p>
    <w:p w:rsidR="00865D25" w:rsidRDefault="00865D25" w:rsidP="00865D25">
      <w:pPr>
        <w:pStyle w:val="a3"/>
        <w:rPr>
          <w:sz w:val="26"/>
        </w:rPr>
      </w:pPr>
    </w:p>
    <w:tbl>
      <w:tblPr>
        <w:tblW w:w="9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3"/>
        <w:gridCol w:w="1702"/>
        <w:gridCol w:w="6135"/>
      </w:tblGrid>
      <w:tr w:rsidR="006A7B7D" w:rsidRPr="00703BDB" w:rsidTr="00A85B60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Марка розчинової суміші по рухомості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Норма по рухомості,</w:t>
            </w:r>
          </w:p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Призначення розчинової суміші</w:t>
            </w:r>
          </w:p>
        </w:tc>
      </w:tr>
      <w:tr w:rsidR="006A7B7D" w:rsidRPr="00703BDB" w:rsidTr="00A85B60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П 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від 1 до 4 включно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Бутова кладка, ущільнена вібруванням</w:t>
            </w:r>
          </w:p>
        </w:tc>
      </w:tr>
      <w:tr w:rsidR="006A7B7D" w:rsidRPr="00703BDB" w:rsidTr="00A85B60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П 8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вище 4 до 8 включно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Бутова кладка звичайна з порожнистої цегли і каменів, монтаж стін з крупних блоків і панелей, розшивання горизонтальних і вертикальних швів в стінах з панелей і блоків, облицювальні роботи</w:t>
            </w:r>
          </w:p>
        </w:tc>
      </w:tr>
      <w:tr w:rsidR="006A7B7D" w:rsidRPr="00703BDB" w:rsidTr="00A85B60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 12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вище 8 до 12 включно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Кладка із звичайної цегли і різного виду каменів, штукатурні та облицювальні роботи..</w:t>
            </w:r>
          </w:p>
        </w:tc>
      </w:tr>
      <w:tr w:rsidR="006A7B7D" w:rsidRPr="00703BDB" w:rsidTr="00A85B60"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П 14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вище 12 до 14 включно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A7B7D" w:rsidRPr="00703BDB" w:rsidRDefault="006A7B7D" w:rsidP="00A85B60">
            <w:pPr>
              <w:rPr>
                <w:color w:val="000000" w:themeColor="text1"/>
                <w:sz w:val="24"/>
                <w:szCs w:val="24"/>
                <w:lang w:eastAsia="ru-RU"/>
              </w:rPr>
            </w:pPr>
            <w:r w:rsidRPr="00703BDB">
              <w:rPr>
                <w:color w:val="000000" w:themeColor="text1"/>
                <w:sz w:val="24"/>
                <w:szCs w:val="24"/>
                <w:lang w:eastAsia="ru-RU"/>
              </w:rPr>
              <w:t>Заповнення порожнин в бутовій кладці</w:t>
            </w:r>
          </w:p>
        </w:tc>
      </w:tr>
    </w:tbl>
    <w:p w:rsidR="00865D25" w:rsidRDefault="00865D25" w:rsidP="00865D25">
      <w:pPr>
        <w:pStyle w:val="a3"/>
        <w:rPr>
          <w:sz w:val="26"/>
        </w:rPr>
      </w:pPr>
    </w:p>
    <w:p w:rsidR="006A7B7D" w:rsidRPr="006A7B7D" w:rsidRDefault="006A7B7D" w:rsidP="006A7B7D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Методика випробування</w:t>
      </w:r>
    </w:p>
    <w:p w:rsidR="006A7B7D" w:rsidRPr="00703BDB" w:rsidRDefault="006A7B7D" w:rsidP="006A7B7D">
      <w:pPr>
        <w:jc w:val="both"/>
        <w:rPr>
          <w:color w:val="000000" w:themeColor="text1"/>
          <w:sz w:val="24"/>
          <w:szCs w:val="24"/>
        </w:rPr>
      </w:pPr>
      <w:r w:rsidRPr="00703BDB">
        <w:rPr>
          <w:color w:val="000000" w:themeColor="text1"/>
          <w:sz w:val="24"/>
          <w:szCs w:val="24"/>
        </w:rPr>
        <w:t>Приготування лабораторного замісу</w:t>
      </w:r>
    </w:p>
    <w:p w:rsidR="006A7B7D" w:rsidRPr="00703BDB" w:rsidRDefault="006A7B7D" w:rsidP="006A7B7D">
      <w:pPr>
        <w:ind w:firstLine="708"/>
        <w:jc w:val="both"/>
        <w:rPr>
          <w:color w:val="000000" w:themeColor="text1"/>
          <w:sz w:val="24"/>
          <w:szCs w:val="24"/>
        </w:rPr>
      </w:pPr>
      <w:r w:rsidRPr="00703BDB">
        <w:rPr>
          <w:color w:val="000000" w:themeColor="text1"/>
          <w:sz w:val="24"/>
          <w:szCs w:val="24"/>
        </w:rPr>
        <w:t>У попередньо протерту вологою тканиною металеву сферичну чашку насипають необхідну кількість піску, до нього додають цемент і перемішують кельмою до однорідного стану, але не менше 3-5 хвилин.</w:t>
      </w:r>
    </w:p>
    <w:p w:rsidR="006A7B7D" w:rsidRPr="00703BDB" w:rsidRDefault="006A7B7D" w:rsidP="006A7B7D">
      <w:pPr>
        <w:ind w:firstLine="708"/>
        <w:jc w:val="both"/>
        <w:rPr>
          <w:color w:val="000000" w:themeColor="text1"/>
          <w:sz w:val="24"/>
          <w:szCs w:val="24"/>
        </w:rPr>
      </w:pPr>
      <w:r w:rsidRPr="00703BDB">
        <w:rPr>
          <w:color w:val="000000" w:themeColor="text1"/>
          <w:sz w:val="24"/>
          <w:szCs w:val="24"/>
        </w:rPr>
        <w:t xml:space="preserve">Потім змішують вапняне тісто з водою і одержують вапняне молоко, яким </w:t>
      </w:r>
      <w:proofErr w:type="spellStart"/>
      <w:r w:rsidRPr="00703BDB">
        <w:rPr>
          <w:color w:val="000000" w:themeColor="text1"/>
          <w:sz w:val="24"/>
          <w:szCs w:val="24"/>
        </w:rPr>
        <w:t>затворюють</w:t>
      </w:r>
      <w:proofErr w:type="spellEnd"/>
      <w:r w:rsidRPr="00703BDB">
        <w:rPr>
          <w:color w:val="000000" w:themeColor="text1"/>
          <w:sz w:val="24"/>
          <w:szCs w:val="24"/>
        </w:rPr>
        <w:t xml:space="preserve"> суміш і перемішують протягом 3-5 хвилин.</w:t>
      </w:r>
    </w:p>
    <w:p w:rsidR="006A7B7D" w:rsidRPr="006A7B7D" w:rsidRDefault="006A7B7D" w:rsidP="006A7B7D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lang w:val="uk-UA"/>
        </w:rPr>
      </w:pPr>
      <w:r w:rsidRPr="006A7B7D">
        <w:rPr>
          <w:color w:val="000000" w:themeColor="text1"/>
          <w:lang w:val="uk-UA"/>
        </w:rPr>
        <w:t xml:space="preserve">Рухомість розчинової суміші визначають за допомогою стандартного приладу Сосуд приладу (1) заповнюють розчином до рівня на 1 см нижче </w:t>
      </w:r>
      <w:proofErr w:type="spellStart"/>
      <w:r w:rsidRPr="006A7B7D">
        <w:rPr>
          <w:color w:val="000000" w:themeColor="text1"/>
          <w:lang w:val="uk-UA"/>
        </w:rPr>
        <w:t>верха</w:t>
      </w:r>
      <w:proofErr w:type="spellEnd"/>
      <w:r w:rsidRPr="006A7B7D">
        <w:rPr>
          <w:color w:val="000000" w:themeColor="text1"/>
          <w:lang w:val="uk-UA"/>
        </w:rPr>
        <w:t>, ущільнюють штикуванням 25 разів стержнем діаметром 12 мм, струшують легким постукуванням об стіл 5-6 разів. Вістря конуса (2) приводять у зіткнення з поверхнею розчинової суміші, закріплюють стержень (5) пусковим гвинтом (3). Фіксують перший відлік по шкалі (4) і пусковим гвинтом дають можливість конусу вільно занурюватися в розчинову суміш протягом 1 хвилини. Фіксують другий відлік по шкалі і визначають глибину занурювання конуса у розчинові суміш як різницю між першим і другим відліком з похибкою до 1 мм.</w:t>
      </w:r>
    </w:p>
    <w:p w:rsidR="006A7B7D" w:rsidRPr="006A7B7D" w:rsidRDefault="006A7B7D" w:rsidP="006A7B7D">
      <w:pPr>
        <w:pStyle w:val="a6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A7B7D">
        <w:rPr>
          <w:color w:val="000000" w:themeColor="text1"/>
          <w:lang w:val="uk-UA"/>
        </w:rPr>
        <w:t>Для одержання розчинової суміші необхідної рухомості розрахункову кількість води збільшують чи зменшують на деяку величину.</w:t>
      </w:r>
    </w:p>
    <w:p w:rsidR="006A7B7D" w:rsidRPr="006A7B7D" w:rsidRDefault="006A7B7D" w:rsidP="006A7B7D">
      <w:pPr>
        <w:pStyle w:val="a6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6A7B7D">
        <w:rPr>
          <w:color w:val="000000" w:themeColor="text1"/>
          <w:lang w:val="uk-UA"/>
        </w:rPr>
        <w:lastRenderedPageBreak/>
        <w:t>За показник рухомості приймають середньоарифметичне значення результатів двох випробувань різних проб з одного замісу.</w:t>
      </w:r>
    </w:p>
    <w:p w:rsidR="006A7B7D" w:rsidRPr="00703BDB" w:rsidRDefault="006A7B7D" w:rsidP="006A7B7D">
      <w:pPr>
        <w:jc w:val="center"/>
        <w:rPr>
          <w:color w:val="000000" w:themeColor="text1"/>
          <w:sz w:val="24"/>
          <w:szCs w:val="24"/>
        </w:rPr>
      </w:pPr>
      <w:r w:rsidRPr="00703BDB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219CB0B" wp14:editId="328F1FF7">
            <wp:extent cx="1266825" cy="2686050"/>
            <wp:effectExtent l="0" t="0" r="9525" b="0"/>
            <wp:docPr id="1" name="Рисунок 1" descr="https://studfile.net/html/2706/1200/html_mMsZXObywH._CQt/htmlconvd-D12dcj_html_9bf013930dd730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200/html_mMsZXObywH._CQt/htmlconvd-D12dcj_html_9bf013930dd730a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668" cy="269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7D" w:rsidRPr="00703BDB" w:rsidRDefault="006A7B7D" w:rsidP="006A7B7D">
      <w:pPr>
        <w:rPr>
          <w:color w:val="000000" w:themeColor="text1"/>
          <w:sz w:val="24"/>
          <w:szCs w:val="24"/>
        </w:rPr>
      </w:pPr>
    </w:p>
    <w:p w:rsidR="006A7B7D" w:rsidRPr="006A7B7D" w:rsidRDefault="00865D25" w:rsidP="006A7B7D">
      <w:pPr>
        <w:pStyle w:val="2"/>
        <w:jc w:val="center"/>
        <w:rPr>
          <w:color w:val="000000" w:themeColor="text1"/>
          <w:lang w:val="ru-RU" w:eastAsia="ru-RU"/>
        </w:rPr>
      </w:pPr>
      <w:r>
        <w:t>Рис.</w:t>
      </w:r>
      <w:r>
        <w:rPr>
          <w:spacing w:val="-3"/>
        </w:rPr>
        <w:t xml:space="preserve"> </w:t>
      </w:r>
      <w:r w:rsidR="006A7B7D">
        <w:t>7</w:t>
      </w:r>
      <w:r>
        <w:t>.1.</w:t>
      </w:r>
      <w:r>
        <w:rPr>
          <w:spacing w:val="-2"/>
        </w:rPr>
        <w:t xml:space="preserve"> </w:t>
      </w:r>
      <w:r w:rsidR="006A7B7D" w:rsidRPr="00703BDB">
        <w:rPr>
          <w:color w:val="000000" w:themeColor="text1"/>
          <w:lang w:eastAsia="ru-RU"/>
        </w:rPr>
        <w:t>Прилад для визначення рухомості розчинової суміші</w:t>
      </w:r>
      <w:r w:rsidR="006A7B7D">
        <w:rPr>
          <w:color w:val="000000" w:themeColor="text1"/>
          <w:lang w:val="ru-RU" w:eastAsia="ru-RU"/>
        </w:rPr>
        <w:t>:</w:t>
      </w:r>
    </w:p>
    <w:p w:rsidR="006A7B7D" w:rsidRPr="00703BDB" w:rsidRDefault="006A7B7D" w:rsidP="006A7B7D">
      <w:pPr>
        <w:pStyle w:val="a5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703BDB">
        <w:rPr>
          <w:color w:val="000000" w:themeColor="text1"/>
          <w:sz w:val="24"/>
          <w:szCs w:val="24"/>
        </w:rPr>
        <w:t>сосуд, 2- конус, 3- гвинт, 4- шкала, 5- стержень, 6- штатив</w:t>
      </w:r>
    </w:p>
    <w:p w:rsidR="006A7B7D" w:rsidRPr="00703BDB" w:rsidRDefault="006A7B7D" w:rsidP="006A7B7D">
      <w:pPr>
        <w:pStyle w:val="a5"/>
        <w:ind w:left="720" w:firstLine="0"/>
        <w:rPr>
          <w:color w:val="000000" w:themeColor="text1"/>
          <w:sz w:val="24"/>
          <w:szCs w:val="24"/>
          <w:lang w:eastAsia="ru-RU"/>
        </w:rPr>
      </w:pPr>
    </w:p>
    <w:p w:rsidR="006A7B7D" w:rsidRPr="00703BDB" w:rsidRDefault="006A7B7D" w:rsidP="006A7B7D">
      <w:pPr>
        <w:pStyle w:val="a5"/>
        <w:ind w:left="720" w:firstLine="0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…см;</w:t>
      </w:r>
    </w:p>
    <w:p w:rsidR="006A7B7D" w:rsidRPr="00703BDB" w:rsidRDefault="006A7B7D" w:rsidP="006A7B7D">
      <w:pPr>
        <w:pStyle w:val="a5"/>
        <w:spacing w:before="100" w:beforeAutospacing="1" w:after="100" w:afterAutospacing="1"/>
        <w:ind w:left="720" w:firstLine="0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h</w:t>
      </w:r>
      <w:r w:rsidRPr="00703BDB">
        <w:rPr>
          <w:color w:val="000000" w:themeColor="text1"/>
          <w:sz w:val="24"/>
          <w:szCs w:val="24"/>
          <w:vertAlign w:val="subscript"/>
          <w:lang w:eastAsia="ru-RU"/>
        </w:rPr>
        <w:t>1</w:t>
      </w:r>
      <w:r w:rsidRPr="00703BDB">
        <w:rPr>
          <w:color w:val="000000" w:themeColor="text1"/>
          <w:sz w:val="24"/>
          <w:szCs w:val="24"/>
          <w:lang w:eastAsia="ru-RU"/>
        </w:rPr>
        <w:t> = …см;</w:t>
      </w:r>
    </w:p>
    <w:p w:rsidR="006A7B7D" w:rsidRPr="00703BDB" w:rsidRDefault="006A7B7D" w:rsidP="006A7B7D">
      <w:pPr>
        <w:pStyle w:val="a5"/>
        <w:spacing w:before="100" w:beforeAutospacing="1" w:after="100" w:afterAutospacing="1"/>
        <w:ind w:left="720" w:firstLine="0"/>
        <w:rPr>
          <w:color w:val="000000" w:themeColor="text1"/>
          <w:sz w:val="24"/>
          <w:szCs w:val="24"/>
          <w:lang w:eastAsia="ru-RU"/>
        </w:rPr>
      </w:pPr>
      <w:r w:rsidRPr="00703BDB">
        <w:rPr>
          <w:color w:val="000000" w:themeColor="text1"/>
          <w:sz w:val="24"/>
          <w:szCs w:val="24"/>
          <w:lang w:eastAsia="ru-RU"/>
        </w:rPr>
        <w:t>h</w:t>
      </w:r>
      <w:r w:rsidRPr="00703BDB">
        <w:rPr>
          <w:color w:val="000000" w:themeColor="text1"/>
          <w:sz w:val="24"/>
          <w:szCs w:val="24"/>
          <w:vertAlign w:val="subscript"/>
          <w:lang w:eastAsia="ru-RU"/>
        </w:rPr>
        <w:t>2</w:t>
      </w:r>
      <w:r w:rsidRPr="00703BDB">
        <w:rPr>
          <w:color w:val="000000" w:themeColor="text1"/>
          <w:sz w:val="24"/>
          <w:szCs w:val="24"/>
          <w:lang w:eastAsia="ru-RU"/>
        </w:rPr>
        <w:t> = …см;</w:t>
      </w:r>
    </w:p>
    <w:p w:rsidR="006A7B7D" w:rsidRPr="00703BDB" w:rsidRDefault="006A7B7D" w:rsidP="006A7B7D">
      <w:pPr>
        <w:pStyle w:val="a5"/>
        <w:spacing w:before="100" w:beforeAutospacing="1" w:after="100" w:afterAutospacing="1"/>
        <w:ind w:left="720" w:firstLine="0"/>
        <w:rPr>
          <w:color w:val="000000" w:themeColor="text1"/>
          <w:sz w:val="24"/>
          <w:szCs w:val="24"/>
          <w:lang w:eastAsia="ru-RU"/>
        </w:rPr>
      </w:pPr>
      <w:proofErr w:type="spellStart"/>
      <w:r w:rsidRPr="00703BDB">
        <w:rPr>
          <w:color w:val="000000" w:themeColor="text1"/>
          <w:sz w:val="24"/>
          <w:szCs w:val="24"/>
          <w:lang w:eastAsia="ru-RU"/>
        </w:rPr>
        <w:t>h</w:t>
      </w:r>
      <w:r w:rsidRPr="00703BDB">
        <w:rPr>
          <w:color w:val="000000" w:themeColor="text1"/>
          <w:sz w:val="24"/>
          <w:szCs w:val="24"/>
          <w:vertAlign w:val="subscript"/>
          <w:lang w:eastAsia="ru-RU"/>
        </w:rPr>
        <w:t>сер</w:t>
      </w:r>
      <w:proofErr w:type="spellEnd"/>
      <w:r w:rsidRPr="00703BDB">
        <w:rPr>
          <w:color w:val="000000" w:themeColor="text1"/>
          <w:sz w:val="24"/>
          <w:szCs w:val="24"/>
          <w:lang w:eastAsia="ru-RU"/>
        </w:rPr>
        <w:t> = …см.</w:t>
      </w:r>
    </w:p>
    <w:p w:rsidR="006A7B7D" w:rsidRPr="00703BDB" w:rsidRDefault="006A7B7D" w:rsidP="006A7B7D">
      <w:pPr>
        <w:pStyle w:val="a5"/>
        <w:spacing w:before="100" w:beforeAutospacing="1" w:after="100" w:afterAutospacing="1"/>
        <w:ind w:left="720" w:firstLine="0"/>
        <w:rPr>
          <w:color w:val="000000" w:themeColor="text1"/>
          <w:sz w:val="24"/>
          <w:szCs w:val="24"/>
          <w:lang w:eastAsia="ru-RU"/>
        </w:rPr>
      </w:pPr>
      <w:r w:rsidRPr="00703BDB">
        <w:rPr>
          <w:b/>
          <w:bCs/>
          <w:color w:val="000000" w:themeColor="text1"/>
          <w:sz w:val="24"/>
          <w:szCs w:val="24"/>
          <w:lang w:eastAsia="ru-RU"/>
        </w:rPr>
        <w:t>Висновок:</w:t>
      </w:r>
      <w:r w:rsidRPr="00703BDB">
        <w:rPr>
          <w:color w:val="000000" w:themeColor="text1"/>
          <w:sz w:val="24"/>
          <w:szCs w:val="24"/>
          <w:lang w:eastAsia="ru-RU"/>
        </w:rPr>
        <w:t> рухомість розчинової суміші склала …</w:t>
      </w:r>
    </w:p>
    <w:p w:rsidR="00865D25" w:rsidRDefault="00865D25" w:rsidP="006A7B7D">
      <w:pPr>
        <w:spacing w:before="212" w:line="249" w:lineRule="exact"/>
        <w:rPr>
          <w:b/>
        </w:rPr>
      </w:pPr>
      <w:bookmarkStart w:id="0" w:name="_GoBack"/>
      <w:bookmarkEnd w:id="0"/>
    </w:p>
    <w:sectPr w:rsidR="00865D25" w:rsidSect="00891B44">
      <w:type w:val="continuous"/>
      <w:pgSz w:w="11906" w:h="16838" w:code="9"/>
      <w:pgMar w:top="709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79E"/>
    <w:multiLevelType w:val="multilevel"/>
    <w:tmpl w:val="D4D0D73C"/>
    <w:lvl w:ilvl="0">
      <w:start w:val="1"/>
      <w:numFmt w:val="decimal"/>
      <w:lvlText w:val="%1"/>
      <w:lvlJc w:val="left"/>
      <w:pPr>
        <w:ind w:left="700" w:hanging="3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0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163" w:hanging="3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95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27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9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9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23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555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34DC0856"/>
    <w:multiLevelType w:val="hybridMultilevel"/>
    <w:tmpl w:val="6A4450DE"/>
    <w:lvl w:ilvl="0" w:tplc="EA66F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63630"/>
    <w:multiLevelType w:val="hybridMultilevel"/>
    <w:tmpl w:val="172EB23E"/>
    <w:lvl w:ilvl="0" w:tplc="845058C2">
      <w:start w:val="1"/>
      <w:numFmt w:val="decimal"/>
      <w:lvlText w:val="%1)"/>
      <w:lvlJc w:val="left"/>
      <w:pPr>
        <w:ind w:left="1059" w:hanging="360"/>
      </w:pPr>
      <w:rPr>
        <w:rFonts w:ascii="Times New Roman" w:eastAsia="Times New Roman" w:hAnsi="Times New Roman" w:cs="Times New Roman" w:hint="default"/>
        <w:w w:val="99"/>
        <w:position w:val="2"/>
        <w:sz w:val="24"/>
        <w:szCs w:val="24"/>
        <w:lang w:val="uk-UA" w:eastAsia="en-US" w:bidi="ar-SA"/>
      </w:rPr>
    </w:lvl>
    <w:lvl w:ilvl="1" w:tplc="7F8EE9C8">
      <w:numFmt w:val="bullet"/>
      <w:lvlText w:val="•"/>
      <w:lvlJc w:val="left"/>
      <w:pPr>
        <w:ind w:left="2880" w:hanging="360"/>
      </w:pPr>
      <w:rPr>
        <w:rFonts w:hint="default"/>
        <w:lang w:val="uk-UA" w:eastAsia="en-US" w:bidi="ar-SA"/>
      </w:rPr>
    </w:lvl>
    <w:lvl w:ilvl="2" w:tplc="316076D4">
      <w:numFmt w:val="bullet"/>
      <w:lvlText w:val="•"/>
      <w:lvlJc w:val="left"/>
      <w:pPr>
        <w:ind w:left="3451" w:hanging="360"/>
      </w:pPr>
      <w:rPr>
        <w:rFonts w:hint="default"/>
        <w:lang w:val="uk-UA" w:eastAsia="en-US" w:bidi="ar-SA"/>
      </w:rPr>
    </w:lvl>
    <w:lvl w:ilvl="3" w:tplc="1CCAEA1E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4" w:tplc="FD60F63E">
      <w:numFmt w:val="bullet"/>
      <w:lvlText w:val="•"/>
      <w:lvlJc w:val="left"/>
      <w:pPr>
        <w:ind w:left="4593" w:hanging="360"/>
      </w:pPr>
      <w:rPr>
        <w:rFonts w:hint="default"/>
        <w:lang w:val="uk-UA" w:eastAsia="en-US" w:bidi="ar-SA"/>
      </w:rPr>
    </w:lvl>
    <w:lvl w:ilvl="5" w:tplc="46BC1DCA">
      <w:numFmt w:val="bullet"/>
      <w:lvlText w:val="•"/>
      <w:lvlJc w:val="left"/>
      <w:pPr>
        <w:ind w:left="5164" w:hanging="360"/>
      </w:pPr>
      <w:rPr>
        <w:rFonts w:hint="default"/>
        <w:lang w:val="uk-UA" w:eastAsia="en-US" w:bidi="ar-SA"/>
      </w:rPr>
    </w:lvl>
    <w:lvl w:ilvl="6" w:tplc="3EAEFCE2">
      <w:numFmt w:val="bullet"/>
      <w:lvlText w:val="•"/>
      <w:lvlJc w:val="left"/>
      <w:pPr>
        <w:ind w:left="5735" w:hanging="360"/>
      </w:pPr>
      <w:rPr>
        <w:rFonts w:hint="default"/>
        <w:lang w:val="uk-UA" w:eastAsia="en-US" w:bidi="ar-SA"/>
      </w:rPr>
    </w:lvl>
    <w:lvl w:ilvl="7" w:tplc="01E878B2">
      <w:numFmt w:val="bullet"/>
      <w:lvlText w:val="•"/>
      <w:lvlJc w:val="left"/>
      <w:pPr>
        <w:ind w:left="6306" w:hanging="360"/>
      </w:pPr>
      <w:rPr>
        <w:rFonts w:hint="default"/>
        <w:lang w:val="uk-UA" w:eastAsia="en-US" w:bidi="ar-SA"/>
      </w:rPr>
    </w:lvl>
    <w:lvl w:ilvl="8" w:tplc="C2F4818E">
      <w:numFmt w:val="bullet"/>
      <w:lvlText w:val="•"/>
      <w:lvlJc w:val="left"/>
      <w:pPr>
        <w:ind w:left="6877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25"/>
    <w:rsid w:val="002A2023"/>
    <w:rsid w:val="00382DE7"/>
    <w:rsid w:val="00626162"/>
    <w:rsid w:val="0063250B"/>
    <w:rsid w:val="006A7B7D"/>
    <w:rsid w:val="00865D25"/>
    <w:rsid w:val="00891B44"/>
    <w:rsid w:val="00BE017B"/>
    <w:rsid w:val="00D01C62"/>
    <w:rsid w:val="00E320F5"/>
    <w:rsid w:val="00E3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17EE"/>
  <w15:chartTrackingRefBased/>
  <w15:docId w15:val="{1ABAB21C-465F-4B23-A3E7-01B706F7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5D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865D25"/>
    <w:pPr>
      <w:ind w:left="339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865D25"/>
    <w:pPr>
      <w:spacing w:line="274" w:lineRule="exact"/>
      <w:ind w:left="33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65D2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865D25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865D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5D2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65D25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865D25"/>
    <w:pPr>
      <w:ind w:left="699" w:hanging="361"/>
    </w:pPr>
  </w:style>
  <w:style w:type="paragraph" w:customStyle="1" w:styleId="TableParagraph">
    <w:name w:val="Table Paragraph"/>
    <w:basedOn w:val="a"/>
    <w:uiPriority w:val="1"/>
    <w:qFormat/>
    <w:rsid w:val="00865D25"/>
  </w:style>
  <w:style w:type="table" w:customStyle="1" w:styleId="TableNormal1">
    <w:name w:val="Table Normal1"/>
    <w:uiPriority w:val="2"/>
    <w:semiHidden/>
    <w:unhideWhenUsed/>
    <w:qFormat/>
    <w:rsid w:val="00891B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semiHidden/>
    <w:unhideWhenUsed/>
    <w:rsid w:val="006A7B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2022-03-30T10:42:00Z</dcterms:created>
  <dcterms:modified xsi:type="dcterms:W3CDTF">2022-03-30T10:48:00Z</dcterms:modified>
</cp:coreProperties>
</file>