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89" w:rsidRPr="00926889" w:rsidRDefault="00926889" w:rsidP="00926889">
      <w:pPr>
        <w:pStyle w:val="a5"/>
        <w:numPr>
          <w:ilvl w:val="0"/>
          <w:numId w:val="1"/>
        </w:numPr>
        <w:shd w:val="clear" w:color="auto" w:fill="FFFFFF"/>
        <w:spacing w:before="150" w:after="150" w:line="600" w:lineRule="atLeast"/>
        <w:outlineLvl w:val="2"/>
        <w:rPr>
          <w:rFonts w:ascii="Helvetica" w:eastAsia="Times New Roman" w:hAnsi="Helvetica" w:cs="Helvetica"/>
          <w:b/>
          <w:bCs/>
          <w:color w:val="000405"/>
          <w:sz w:val="36"/>
          <w:szCs w:val="36"/>
          <w:lang w:val="uk-UA" w:eastAsia="ru-RU"/>
        </w:rPr>
      </w:pP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36"/>
          <w:szCs w:val="36"/>
          <w:lang w:eastAsia="ru-RU"/>
        </w:rPr>
        <w:t>Національна</w:t>
      </w:r>
      <w:proofErr w:type="spellEnd"/>
      <w:r w:rsidRPr="00926889">
        <w:rPr>
          <w:rFonts w:ascii="Helvetica" w:eastAsia="Times New Roman" w:hAnsi="Helvetica" w:cs="Helvetica"/>
          <w:b/>
          <w:bCs/>
          <w:color w:val="000405"/>
          <w:sz w:val="36"/>
          <w:szCs w:val="36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36"/>
          <w:szCs w:val="36"/>
          <w:lang w:eastAsia="ru-RU"/>
        </w:rPr>
        <w:t>економіка</w:t>
      </w:r>
      <w:proofErr w:type="spellEnd"/>
      <w:r w:rsidRPr="00926889">
        <w:rPr>
          <w:rFonts w:ascii="Helvetica" w:eastAsia="Times New Roman" w:hAnsi="Helvetica" w:cs="Helvetica"/>
          <w:b/>
          <w:bCs/>
          <w:color w:val="000405"/>
          <w:sz w:val="36"/>
          <w:szCs w:val="36"/>
          <w:lang w:eastAsia="ru-RU"/>
        </w:rPr>
        <w:t xml:space="preserve"> </w:t>
      </w:r>
      <w:r w:rsidRPr="00926889">
        <w:rPr>
          <w:rFonts w:ascii="Helvetica" w:eastAsia="Times New Roman" w:hAnsi="Helvetica" w:cs="Helvetica"/>
          <w:b/>
          <w:bCs/>
          <w:color w:val="000405"/>
          <w:sz w:val="36"/>
          <w:szCs w:val="36"/>
          <w:lang w:val="uk-UA" w:eastAsia="ru-RU"/>
        </w:rPr>
        <w:t xml:space="preserve"> та її показники</w:t>
      </w:r>
    </w:p>
    <w:p w:rsidR="00926889" w:rsidRPr="00926889" w:rsidRDefault="00926889" w:rsidP="00926889">
      <w:pPr>
        <w:pStyle w:val="a5"/>
        <w:shd w:val="clear" w:color="auto" w:fill="FFFFFF"/>
        <w:spacing w:before="150" w:after="150" w:line="600" w:lineRule="atLeast"/>
        <w:ind w:left="750"/>
        <w:outlineLvl w:val="2"/>
        <w:rPr>
          <w:rFonts w:ascii="Helvetica" w:eastAsia="Times New Roman" w:hAnsi="Helvetica" w:cs="Helvetica"/>
          <w:b/>
          <w:bCs/>
          <w:color w:val="000405"/>
          <w:sz w:val="36"/>
          <w:szCs w:val="36"/>
          <w:lang w:val="uk-UA" w:eastAsia="ru-RU"/>
        </w:rPr>
      </w:pP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будь-яко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продуктом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тривалого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історичного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розвитку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Вона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формується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століттями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результаті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поглиблення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суспільного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поділу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кооперації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праці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ґрунтується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використанні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наявних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ресурсів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забезпечує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реалізацію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інтересів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цієї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характеризується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певним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івнем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розвитку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продуктивних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сил, типом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системи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характером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суспільного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відтворення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специфічним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господарським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механізмом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рівнем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життя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населення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зовнішньоекономічними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зв'язками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цілісним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організмом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яка.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об'єднує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взаємопов'язану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систему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галузей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видів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виробництв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територіальних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комплексів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системі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органічно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взаємодіють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галузі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виробляють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матеріальне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виробництво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промисловість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сільське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будівництво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)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галузі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надають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послуги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нематеріальне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виробництво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- транспорт,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зв'язок</w:t>
      </w:r>
      <w:proofErr w:type="spellEnd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,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торгі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вля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освіта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охорона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здоров'я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, культура).</w:t>
      </w:r>
      <w:proofErr w:type="gramEnd"/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Природно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спі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вв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ідношення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зазначених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сфер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галузей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тобто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структура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рівень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розвитку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ефективність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функціонування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значні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відмінності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ізних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країнах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Чим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розвиненіший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науково-технічний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потенціал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досконаліша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система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господарювання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краще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використовуються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переваги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міжнародного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поділу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праці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вищі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соц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іальна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ефективність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виробництва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рівень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життя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населення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Св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ітовий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банк за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критерієм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відкритості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виділяє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: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• 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відкриті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частку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експорту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більше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35% ВВП);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• 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закриті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типи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частку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експорту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менше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10% ВВП).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Суб’єктами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ринку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інституційні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одиниці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функціонують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 межах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окремих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секторів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умовах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відкритої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включають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: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домашні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нефінансові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корпорації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фінансові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корпорації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некомерційні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установи,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обслуговують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домашні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державного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управління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решту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св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іту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тіньовий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сектор.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Домашні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господарства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 –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сукупність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вс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господарських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одиниць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діяльність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направлена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задоволення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власних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потреб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інтересів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Вони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здійснюють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такі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види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діяльності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: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пропонують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фактори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виробництва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перерозподіляють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отриманий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дохід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споживання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нагромадження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Даний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сектор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об’єднує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: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особисті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допоміжні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громадян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;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індивідуальну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трудову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діяльність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ідприємницьку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діяльність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без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залучення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найманої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праці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);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селянські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фермерські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)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господарства</w:t>
      </w:r>
      <w:proofErr w:type="spellEnd"/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Сектор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некомерційних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організацій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 –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фірми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установи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організації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здійснюють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своюдіяльність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метою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отримання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прибутку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 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Сектор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некомерційних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організацій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обслуговують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домашні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–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сукупність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інституційних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одиниць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надають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неринкові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послуги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домашнім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господарствам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Основними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джерелами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доходів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даного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сектору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добровільні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благодійні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внески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населення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домашніх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), доходи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власності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трансферти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складу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даного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сектору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входять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: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lastRenderedPageBreak/>
        <w:t xml:space="preserve">•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громадські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рел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ігійні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організації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професійні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спілки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політичні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партії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релігійні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товариства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спортивні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товариства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);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 •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благодійні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організації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фонди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 •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інші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некомерційні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організації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ідрозділи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підприємств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надають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соціальнокультурні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послуги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здебільшого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робітникам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підприємств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їх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сім’ям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).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Сектор </w:t>
      </w:r>
      <w:proofErr w:type="gram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державного</w:t>
      </w:r>
      <w:proofErr w:type="gram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управління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 –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сукупність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усіх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резидентних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інституційних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одиниць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сприяють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наданню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неринкових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послуг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для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індивідуального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колективного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споживання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також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перерозподіляють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дохід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багатство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одиниці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зайняті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сфері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загального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управління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регулювання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планування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науково-дослідної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роботи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охорони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навколишнього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середовища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забезпечення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правопорядку, оборони, 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також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соціальній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сфері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стосовно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безкоштовного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надання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послуг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або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пільгового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обслуговування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населення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галузі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освіти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охорони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здоров’я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соціального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забезпечення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культури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мистецтва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фізичної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культури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спорту.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Тіньовий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сектор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або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паралельний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сектор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об’єднує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діяльність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тих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інституційних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одиниць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яка не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враховується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офіційній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статистиці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веде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до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приховування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доходів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оподаткування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або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яку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неможливо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виміряти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за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відсутності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об’єктивних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вимірників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також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юридично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заборонені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види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діяльності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виробництво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продаж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наркотиків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проституція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протизаконна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кримі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нальна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діяльність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направлена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особисте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збагачення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)</w:t>
      </w:r>
      <w:proofErr w:type="gramEnd"/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Для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виміру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івня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конкурентоспроможні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глобальний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рейтинг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конкурентоспроможності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(ГІК).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Глобальний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рейтинг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конкурентоспроможності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</w:t>
      </w:r>
      <w:proofErr w:type="spellEnd"/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Всесвітнім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форумом (ВЕФ)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1979 року.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Україна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була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включена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до рейтингу в 1997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Глобальний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індекс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конкурентоспроможності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(ГІК),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складається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12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субіндексів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: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державні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установи,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інфраструктура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макроекономічна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стабільність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охорона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здоров’я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початкова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освіта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вища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освіта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навчання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ринок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ринок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праці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фінансовий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ринок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івень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розвитку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використання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технологій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обсяг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внутрішнього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ринку,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розвиток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бізнесу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інновацій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                                      </w:t>
      </w: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lang w:eastAsia="ru-RU"/>
        </w:rPr>
        <w:t xml:space="preserve">        Система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lang w:eastAsia="ru-RU"/>
        </w:rPr>
        <w:t>рахунків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lang w:eastAsia="ru-RU"/>
        </w:rPr>
        <w:t xml:space="preserve"> (СНР)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Весь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ічний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потік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послуг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межах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становитиме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продукт.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Національний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продукт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- 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це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те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саме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й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загальні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доходи 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суспільства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загальні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витрати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загальний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обсяг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виробництва</w:t>
      </w:r>
      <w:proofErr w:type="spellEnd"/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В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умовах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ринкової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продукт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обчислюють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вартісному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вираженні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Отже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продукт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дуже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важливим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показником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не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тільки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для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де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він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виробляється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й</w:t>
      </w:r>
      <w:proofErr w:type="spellEnd"/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для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міжнародного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співробітництва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Уже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багато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Організація</w:t>
      </w:r>
      <w:proofErr w:type="spellEnd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б'єднаних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докладає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багато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зусиль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до того,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щоб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усі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збирали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відомості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про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продукт.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Така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статистика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дає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змогу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визначити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івень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розвитку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її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результативність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ефективність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використання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матеріальних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трудових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ресурсів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здійснити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порівняння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між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країнами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розробити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необхідні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рекомендації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щодо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поступального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розвитку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її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участі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міжнародному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поділі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праці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Для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обчислення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обсягу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продукту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наука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використовує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цілу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низку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серед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: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Валовий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внутрішній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продукт (ВВП)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загальна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ринкова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вартість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усі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х</w:t>
      </w:r>
      <w:proofErr w:type="spellEnd"/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кінцевих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послуг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створених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території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певної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протягом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визначеного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періоду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найчастіше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одного року).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lastRenderedPageBreak/>
        <w:t>Валовий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національний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продукт (ВНП)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-  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сукупність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усіх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вироблених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наданих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послуг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за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незалежно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розташування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підприємств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 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Відмінність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між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ВВП та ВНП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полягає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 тому,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ВВП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за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територіальним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принципом, а ВНП - за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національним</w:t>
      </w:r>
      <w:proofErr w:type="spellEnd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ри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обчисленні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ВВП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враховується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вартість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продукції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виробленої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території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незалежно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того,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хто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власником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факторів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виробництва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громадяни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цієї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або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іноземні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громадяни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Наприклад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прибутки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іноземної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корпорації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отримані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території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певної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,б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удуть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враховуватися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ВВП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цієї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але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не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враховуватися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при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обчисленні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ВНП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цієї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При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обчисленні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ВНП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враховується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вартість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продукції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виробленої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факторами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виробництва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належать резидентам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цієї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Проаналізувати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результати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суспільного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відтворення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дає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змогу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система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рахунків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(СНР), створена за такими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методологічними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принципами.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                                     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Методи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обчислення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ВВП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ВВП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можна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розрахувати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трьома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методами: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- </w:t>
      </w: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за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доданою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вартістю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виробничий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метод);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- </w:t>
      </w: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за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видатками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(метод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кінцевого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використання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);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- </w:t>
      </w: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за доходами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розподільчий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метод).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 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виробничому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методі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 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ідсумовується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додана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вартість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створена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всіма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галузями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Для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кожної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галузі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спочатку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обсяг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валового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випуску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зменшуваний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величину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проміжного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споживання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Отримані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 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додаються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Однак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через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складність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ідрахунків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цей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метод практично не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використовується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Метод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обчислення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витрат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полягає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додаванні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витрат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усіх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суб'єктів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: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домашніх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ідприємств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держави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також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іноземних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підприємств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громадян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здійснюють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експортно-імпортні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операції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Отриманий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матиме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такий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вигляд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: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                                                     ВВП = С + І + G +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NE,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де </w:t>
      </w:r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С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витрати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домашніх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придбання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споживчих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; І 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валові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приватні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інвестиції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витрати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ідприємств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придбання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сировини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матеріалів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обладнання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технологій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);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G –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витрати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держави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утримання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державного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апарату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армії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правоохоронних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органів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.); NE 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чистий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експорт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розрахований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як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ізниця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між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вартістю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вивезених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із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ввезених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Метод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обчислення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доходів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передбачає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додавання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вс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доходів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суб'єктів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: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                                                ВВП=А + W+ </w:t>
      </w:r>
      <w:proofErr w:type="gram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+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+ 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r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 + ТH,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де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А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амортизаційні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відрахування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W 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заробітна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плата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усіма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додатковими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виплатами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gram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прибуток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підприємств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усіх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форм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власності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господарювання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(до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вирахування</w:t>
      </w:r>
      <w:proofErr w:type="spellEnd"/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податків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);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- процент,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його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отримують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домашні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господарства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розміщення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заощаджень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фінансових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установах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r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 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рентні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доходи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власників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ізноманітного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майна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передачі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його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оренду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Т</w:t>
      </w:r>
      <w:proofErr w:type="gram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H</w:t>
      </w:r>
      <w:proofErr w:type="gram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непрямі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податки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додану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вартість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акцизи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мито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),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входять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ціну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товару.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Використання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того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чи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іншого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методу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розрахунку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ВВП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залежить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чинної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інформаційно-статистичної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бази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 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                  </w:t>
      </w: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Змі</w:t>
      </w:r>
      <w:proofErr w:type="gramStart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ст</w:t>
      </w:r>
      <w:proofErr w:type="spellEnd"/>
      <w:proofErr w:type="gramEnd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окремих</w:t>
      </w:r>
      <w:proofErr w:type="spellEnd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показників</w:t>
      </w:r>
      <w:proofErr w:type="spellEnd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 xml:space="preserve"> у </w:t>
      </w: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системі</w:t>
      </w:r>
      <w:proofErr w:type="spellEnd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рахунків</w:t>
      </w:r>
      <w:proofErr w:type="spellEnd"/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lastRenderedPageBreak/>
        <w:t xml:space="preserve">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основі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валового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внутрішнього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продукту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можна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розрахувати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інші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системи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рахунків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чистого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внутрішнього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продукту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(ЧВП)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шляхом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віднімання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вартості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ВВП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амортизаційних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відрахувань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ЧВП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досконалішим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індикатором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обсягу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виробництва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конкретного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року.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Особливе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місце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системі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займає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національний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дохід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(НД).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фактично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зароблений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дохід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усіх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суб'єктів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НД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можна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розрахувати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двома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способами </w:t>
      </w:r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як </w:t>
      </w:r>
      <w:proofErr w:type="spellStart"/>
      <w:proofErr w:type="gram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р</w:t>
      </w:r>
      <w:proofErr w:type="gram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ізницю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між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ЧВП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і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непрямими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податками</w:t>
      </w:r>
      <w:proofErr w:type="spellEnd"/>
      <w:r w:rsidRPr="00926889">
        <w:rPr>
          <w:rFonts w:ascii="Helvetica" w:eastAsia="Times New Roman" w:hAnsi="Helvetica" w:cs="Helvetica"/>
          <w:i/>
          <w:iCs/>
          <w:color w:val="000405"/>
          <w:sz w:val="21"/>
          <w:szCs w:val="21"/>
          <w:lang w:eastAsia="ru-RU"/>
        </w:rPr>
        <w:t>;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Отже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НД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характеризує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результат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діяльності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вс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економічних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суб'єктів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суспільства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. Цей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не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враховує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затрати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минулої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праці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частину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вартості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створену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за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рахунок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непрямих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податкі</w:t>
      </w:r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</w:t>
      </w:r>
      <w:proofErr w:type="spellEnd"/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рахунках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використовується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показник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особистого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 доходу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(ОД),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визначається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шляхом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відрахування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національного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доходу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внесків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соц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іальне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страхування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податків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прибуток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підприємств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їхніх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нерозподілених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прибутків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також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додаванням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трансфертних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платежів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(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допомоги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безробіття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пенсій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інших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соціальних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виплат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).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ісля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сплати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відповідних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податків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із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суми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особистого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доходу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залишається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дохід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що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йде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на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придбання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споживчих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товарів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утворення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заощаджень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який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прийнято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називати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 xml:space="preserve">доходом 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кінцевого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 </w:t>
      </w:r>
      <w:proofErr w:type="spellStart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використання</w:t>
      </w:r>
      <w:proofErr w:type="spellEnd"/>
      <w:r w:rsidRPr="00926889">
        <w:rPr>
          <w:rFonts w:ascii="Helvetica" w:eastAsia="Times New Roman" w:hAnsi="Helvetica" w:cs="Helvetica"/>
          <w:b/>
          <w:bCs/>
          <w:i/>
          <w:iCs/>
          <w:color w:val="000405"/>
          <w:sz w:val="21"/>
          <w:szCs w:val="21"/>
          <w:lang w:eastAsia="ru-RU"/>
        </w:rPr>
        <w:t>.</w:t>
      </w:r>
    </w:p>
    <w:p w:rsidR="00926889" w:rsidRPr="00926889" w:rsidRDefault="00926889" w:rsidP="0092688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Національне</w:t>
      </w:r>
      <w:proofErr w:type="spellEnd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багатство</w:t>
      </w:r>
      <w:proofErr w:type="spellEnd"/>
      <w:r w:rsidRPr="00926889">
        <w:rPr>
          <w:rFonts w:ascii="Helvetica" w:eastAsia="Times New Roman" w:hAnsi="Helvetica" w:cs="Helvetica"/>
          <w:b/>
          <w:bCs/>
          <w:color w:val="000405"/>
          <w:sz w:val="21"/>
          <w:szCs w:val="21"/>
          <w:lang w:eastAsia="ru-RU"/>
        </w:rPr>
        <w:t> </w:t>
      </w:r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-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це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сукупність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створених</w:t>
      </w:r>
      <w:proofErr w:type="spellEnd"/>
      <w:proofErr w:type="gram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.</w:t>
      </w:r>
      <w:proofErr w:type="gram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та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нагромаджених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у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країні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працею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всього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суспільства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матеріальних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благ,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розвіданих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природних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ресурсів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досягнутого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рівня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освіти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людей,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їхнього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досвіду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майстерності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творчих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здібностей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,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які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призначені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для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розширеного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відтворення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з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метою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підвищення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добробуту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 xml:space="preserve"> </w:t>
      </w:r>
      <w:proofErr w:type="spellStart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нації</w:t>
      </w:r>
      <w:proofErr w:type="spellEnd"/>
      <w:r w:rsidRPr="00926889"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  <w:t>.</w:t>
      </w:r>
    </w:p>
    <w:p w:rsidR="009D1249" w:rsidRDefault="009D1249"/>
    <w:sectPr w:rsidR="009D1249" w:rsidSect="009D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7081E"/>
    <w:multiLevelType w:val="hybridMultilevel"/>
    <w:tmpl w:val="0F382890"/>
    <w:lvl w:ilvl="0" w:tplc="52B8E95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889"/>
    <w:rsid w:val="00926889"/>
    <w:rsid w:val="009D1249"/>
    <w:rsid w:val="00C5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49"/>
  </w:style>
  <w:style w:type="paragraph" w:styleId="3">
    <w:name w:val="heading 3"/>
    <w:basedOn w:val="a"/>
    <w:link w:val="30"/>
    <w:uiPriority w:val="9"/>
    <w:qFormat/>
    <w:rsid w:val="00926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68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889"/>
    <w:rPr>
      <w:b/>
      <w:bCs/>
    </w:rPr>
  </w:style>
  <w:style w:type="paragraph" w:styleId="a5">
    <w:name w:val="List Paragraph"/>
    <w:basedOn w:val="a"/>
    <w:uiPriority w:val="34"/>
    <w:qFormat/>
    <w:rsid w:val="00926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9068</Characters>
  <Application>Microsoft Office Word</Application>
  <DocSecurity>0</DocSecurity>
  <Lines>75</Lines>
  <Paragraphs>21</Paragraphs>
  <ScaleCrop>false</ScaleCrop>
  <Company/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2021-12-09T08:22:00Z</dcterms:created>
  <dcterms:modified xsi:type="dcterms:W3CDTF">2021-12-09T08:22:00Z</dcterms:modified>
</cp:coreProperties>
</file>