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AA548" w14:textId="77777777" w:rsidR="001B6E63" w:rsidRDefault="00D132FA" w:rsidP="00D132FA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D132FA">
        <w:rPr>
          <w:rFonts w:ascii="Times New Roman" w:hAnsi="Times New Roman" w:cs="Times New Roman"/>
          <w:sz w:val="28"/>
          <w:lang w:val="uk-UA"/>
        </w:rPr>
        <w:t>Практичне заняття № 6</w:t>
      </w:r>
    </w:p>
    <w:p w14:paraId="5F13AA80" w14:textId="497844FE" w:rsidR="00D132FA" w:rsidRPr="003C186E" w:rsidRDefault="00D132FA" w:rsidP="00D132FA">
      <w:pPr>
        <w:spacing w:after="0"/>
        <w:ind w:left="-567"/>
        <w:jc w:val="both"/>
        <w:rPr>
          <w:rStyle w:val="FontStyle30"/>
          <w:b w:val="0"/>
          <w:sz w:val="28"/>
          <w:szCs w:val="24"/>
          <w:lang w:val="uk-UA" w:eastAsia="uk-UA"/>
        </w:rPr>
      </w:pPr>
      <w:r w:rsidRPr="00D132FA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3C186E" w:rsidRPr="003C186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Розміщення лінійних елементів з обліком рельєфу</w:t>
      </w:r>
      <w:r w:rsidR="003C186E" w:rsidRPr="003C186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</w:p>
    <w:p w14:paraId="1080C732" w14:textId="77777777" w:rsidR="00D132FA" w:rsidRDefault="00D132FA" w:rsidP="00D132FA">
      <w:pPr>
        <w:spacing w:after="0"/>
        <w:ind w:left="-567"/>
        <w:jc w:val="both"/>
        <w:rPr>
          <w:rStyle w:val="FontStyle30"/>
          <w:b w:val="0"/>
          <w:sz w:val="28"/>
          <w:szCs w:val="24"/>
          <w:lang w:val="uk-UA" w:eastAsia="uk-UA"/>
        </w:rPr>
      </w:pPr>
    </w:p>
    <w:p w14:paraId="376682B6" w14:textId="6E94953B" w:rsidR="00D132FA" w:rsidRDefault="00D132FA" w:rsidP="007B6370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lang w:val="uk-UA"/>
        </w:rPr>
        <w:t>Мета заняття:</w:t>
      </w:r>
      <w:r w:rsidR="001D1666" w:rsidRPr="001D1666">
        <w:rPr>
          <w:rFonts w:ascii="Helvetica" w:hAnsi="Helvetica" w:cs="Helvetica"/>
          <w:color w:val="000405"/>
          <w:sz w:val="21"/>
          <w:szCs w:val="21"/>
          <w:shd w:val="clear" w:color="auto" w:fill="FFFFFF"/>
          <w:lang w:val="uk-UA"/>
        </w:rPr>
        <w:t xml:space="preserve"> </w:t>
      </w:r>
      <w:r w:rsidR="007B6370" w:rsidRPr="007B6370">
        <w:rPr>
          <w:rFonts w:ascii="Times New Roman" w:hAnsi="Times New Roman" w:cs="Times New Roman"/>
          <w:color w:val="000405"/>
          <w:sz w:val="28"/>
          <w:szCs w:val="28"/>
          <w:shd w:val="clear" w:color="auto" w:fill="FFFFFF"/>
          <w:lang w:val="uk-UA"/>
        </w:rPr>
        <w:t xml:space="preserve">ознайомитись </w:t>
      </w:r>
      <w:r w:rsidR="003C186E">
        <w:rPr>
          <w:rFonts w:ascii="Times New Roman" w:hAnsi="Times New Roman" w:cs="Times New Roman"/>
          <w:color w:val="000405"/>
          <w:sz w:val="28"/>
          <w:szCs w:val="28"/>
          <w:shd w:val="clear" w:color="auto" w:fill="FFFFFF"/>
          <w:lang w:val="uk-UA"/>
        </w:rPr>
        <w:t>із</w:t>
      </w:r>
      <w:r w:rsidR="007B6370" w:rsidRPr="007B6370">
        <w:rPr>
          <w:rFonts w:ascii="Times New Roman" w:hAnsi="Times New Roman" w:cs="Times New Roman"/>
          <w:color w:val="000405"/>
          <w:sz w:val="28"/>
          <w:szCs w:val="28"/>
          <w:shd w:val="clear" w:color="auto" w:fill="FFFFFF"/>
          <w:lang w:val="uk-UA"/>
        </w:rPr>
        <w:t xml:space="preserve"> </w:t>
      </w:r>
      <w:r w:rsidR="003C186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р</w:t>
      </w:r>
      <w:r w:rsidR="003C186E" w:rsidRPr="003C186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озміщення</w:t>
      </w:r>
      <w:r w:rsidR="003C186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м</w:t>
      </w:r>
      <w:r w:rsidR="003C186E" w:rsidRPr="003C186E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лінійних елементів з обліком рельєфу</w:t>
      </w:r>
      <w:r w:rsidR="007B6370" w:rsidRPr="007B6370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  <w:t>.</w:t>
      </w:r>
    </w:p>
    <w:p w14:paraId="3CC1FEFA" w14:textId="77777777" w:rsidR="007B6370" w:rsidRPr="007B6370" w:rsidRDefault="007B6370" w:rsidP="007B6370">
      <w:pPr>
        <w:spacing w:after="0"/>
        <w:ind w:left="-567"/>
        <w:jc w:val="both"/>
        <w:rPr>
          <w:rFonts w:ascii="Times New Roman" w:hAnsi="Times New Roman" w:cs="Times New Roman"/>
          <w:color w:val="000405"/>
          <w:sz w:val="28"/>
          <w:szCs w:val="28"/>
          <w:shd w:val="clear" w:color="auto" w:fill="FFFFFF"/>
          <w:lang w:val="uk-UA"/>
        </w:rPr>
      </w:pPr>
    </w:p>
    <w:p w14:paraId="7E4F8C3E" w14:textId="6C940E81" w:rsidR="001D1666" w:rsidRDefault="001D1666" w:rsidP="001D166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Хід заняття</w:t>
      </w:r>
    </w:p>
    <w:p w14:paraId="06FD5903" w14:textId="4C8FAB7E" w:rsidR="001D1666" w:rsidRDefault="003C186E" w:rsidP="003C186E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t>Контурна організація території проектується в межах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землекористування господарств різних форм власності. Контурна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організація території: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• забезпечує підвищення захисних функцій існуючих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сільськогосподарських ландшафтів у водозбірних басейнах у межах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землекористування при взаємодії з існуючими елементами організації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території на водозбірних площах прилеглих землекористувань з тим,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щоб не погіршити їхні захисні протиерозійні властивості;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• максимально враховує наявні рубежі (шляхи з твердим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покриттям, залізниці, земляні вали різних типів), що значно впливають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на перерозподіл поверхневого стоку талих і зливових вод на</w:t>
      </w:r>
      <w:r w:rsidRPr="003C186E">
        <w:rPr>
          <w:rFonts w:ascii="Times New Roman" w:hAnsi="Times New Roman" w:cs="Times New Roman"/>
          <w:sz w:val="28"/>
          <w:szCs w:val="28"/>
        </w:rPr>
        <w:br/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t>147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t>водозбірних площах і не підлягають реконструкції в процесі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проектування;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• визначає лінійні рубежі для розміщення полезахисних і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водорегулювальних лісосмуг, протиерозійних валів різних типів,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водоохоронних захисних прибережних смуг, що виконують захисні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протиерозійні функції і будуть входити до єдиної регіональної системи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протиерозійних заходів довгострокової дії з тривалим строком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окупності;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• створює оптимальні умови взаємодії різних елементів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ґрунтозахисної системи землеробства щодо забезпечення зниження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втрат ґрунту від ерозії, зниження втрат вологи внаслідок поверхневого</w:t>
      </w:r>
      <w:r w:rsidRPr="003C186E">
        <w:rPr>
          <w:rFonts w:ascii="Times New Roman" w:hAnsi="Times New Roman" w:cs="Times New Roman"/>
          <w:color w:val="000000"/>
          <w:sz w:val="28"/>
          <w:szCs w:val="28"/>
        </w:rPr>
        <w:br/>
        <w:t>стоку і підвищення продуктивності агрофітоценозів.</w:t>
      </w:r>
    </w:p>
    <w:p w14:paraId="3EB2DBBD" w14:textId="6EA4A8C4" w:rsidR="003C186E" w:rsidRDefault="003C186E" w:rsidP="003C186E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EB4F81" w14:textId="49BB2BBD" w:rsidR="003C186E" w:rsidRPr="003C186E" w:rsidRDefault="003C186E" w:rsidP="003C186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С. 148 підручника  МАЛЮНОК 1.9</w:t>
      </w:r>
    </w:p>
    <w:sectPr w:rsidR="003C186E" w:rsidRPr="003C186E" w:rsidSect="00D132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E17ECA88t00">
    <w:altName w:val="Cambria"/>
    <w:panose1 w:val="00000000000000000000"/>
    <w:charset w:val="00"/>
    <w:family w:val="roman"/>
    <w:notTrueType/>
    <w:pitch w:val="default"/>
  </w:font>
  <w:font w:name="TTE17EA0F0t00">
    <w:altName w:val="Cambri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3D1"/>
    <w:rsid w:val="001B6E63"/>
    <w:rsid w:val="001D1666"/>
    <w:rsid w:val="003C186E"/>
    <w:rsid w:val="007B6370"/>
    <w:rsid w:val="00B953D1"/>
    <w:rsid w:val="00D1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FEC9"/>
  <w15:docId w15:val="{B1F8BD10-97DB-4546-9118-C3ED1659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D132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01">
    <w:name w:val="fontstyle01"/>
    <w:basedOn w:val="a0"/>
    <w:rsid w:val="003C186E"/>
    <w:rPr>
      <w:rFonts w:ascii="TTE17ECA88t00" w:hAnsi="TTE17ECA8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C186E"/>
    <w:rPr>
      <w:rFonts w:ascii="TTE17EA0F0t00" w:hAnsi="TTE17EA0F0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3C186E"/>
    <w:rPr>
      <w:rFonts w:ascii="TTE17ECA88t00" w:hAnsi="TTE17ECA8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3C186E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3C186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4</cp:revision>
  <dcterms:created xsi:type="dcterms:W3CDTF">2021-01-28T13:07:00Z</dcterms:created>
  <dcterms:modified xsi:type="dcterms:W3CDTF">2021-04-06T08:26:00Z</dcterms:modified>
</cp:coreProperties>
</file>