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7B" w:rsidRDefault="005B4C7B" w:rsidP="005B4C7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405"/>
          <w:sz w:val="28"/>
          <w:szCs w:val="28"/>
          <w:lang w:val="uk-UA" w:eastAsia="ru-RU"/>
        </w:rPr>
      </w:pPr>
      <w:r w:rsidRPr="005B4C7B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val="uk-UA" w:eastAsia="ru-RU"/>
        </w:rPr>
        <w:t>Практичне заняття № 5</w:t>
      </w:r>
    </w:p>
    <w:p w:rsidR="005B4C7B" w:rsidRPr="005B4C7B" w:rsidRDefault="005B4C7B" w:rsidP="005B4C7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000405"/>
          <w:sz w:val="28"/>
          <w:szCs w:val="28"/>
          <w:lang w:val="uk-UA" w:eastAsia="ru-RU"/>
        </w:rPr>
      </w:pPr>
    </w:p>
    <w:p w:rsidR="005B4C7B" w:rsidRDefault="005B4C7B" w:rsidP="001B574C">
      <w:pPr>
        <w:shd w:val="clear" w:color="auto" w:fill="FFFFFF"/>
        <w:spacing w:after="0"/>
        <w:ind w:left="-567"/>
        <w:jc w:val="both"/>
        <w:outlineLvl w:val="2"/>
        <w:rPr>
          <w:rFonts w:ascii="Times New Roman" w:eastAsia="Times New Roman" w:hAnsi="Times New Roman" w:cs="Times New Roman"/>
          <w:bCs/>
          <w:color w:val="000405"/>
          <w:sz w:val="28"/>
          <w:szCs w:val="28"/>
          <w:lang w:val="uk-UA" w:eastAsia="ru-RU"/>
        </w:rPr>
      </w:pPr>
      <w:r w:rsidRPr="005B4C7B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  <w:t xml:space="preserve">Тема: </w:t>
      </w:r>
      <w:r w:rsidRPr="005B4C7B">
        <w:rPr>
          <w:rFonts w:ascii="Times New Roman" w:eastAsia="Times New Roman" w:hAnsi="Times New Roman" w:cs="Times New Roman"/>
          <w:bCs/>
          <w:color w:val="000405"/>
          <w:sz w:val="28"/>
          <w:szCs w:val="28"/>
          <w:lang w:eastAsia="ru-RU"/>
        </w:rPr>
        <w:t>Просторове проектування полів сівозмін, захисних лісосмуг і протиерозійних гідротехнічних споруд в умовах складного рельєфу та складання плану протиерозійної організації території сільськогосподарського підприємства.</w:t>
      </w:r>
    </w:p>
    <w:p w:rsidR="001B574C" w:rsidRPr="001B574C" w:rsidRDefault="001B574C" w:rsidP="001B574C">
      <w:pPr>
        <w:shd w:val="clear" w:color="auto" w:fill="FFFFFF"/>
        <w:spacing w:after="0"/>
        <w:ind w:left="-567"/>
        <w:jc w:val="both"/>
        <w:outlineLvl w:val="2"/>
        <w:rPr>
          <w:rFonts w:ascii="Times New Roman" w:eastAsia="Times New Roman" w:hAnsi="Times New Roman" w:cs="Times New Roman"/>
          <w:bCs/>
          <w:color w:val="000405"/>
          <w:sz w:val="28"/>
          <w:szCs w:val="28"/>
          <w:lang w:val="uk-UA" w:eastAsia="ru-RU"/>
        </w:rPr>
      </w:pPr>
      <w:bookmarkStart w:id="0" w:name="_GoBack"/>
      <w:bookmarkEnd w:id="0"/>
    </w:p>
    <w:p w:rsidR="005B4C7B" w:rsidRPr="005B4C7B" w:rsidRDefault="005B4C7B" w:rsidP="001B574C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Мета заняття: 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ознайомитись з проектуванням полів сівозмін, захисних лісосмуг і протиерозійних гідротехнічних споруд в умовах складного рельєфу та складанням плану протиерозійної організації території сільськогосподарського підприємства.</w:t>
      </w:r>
    </w:p>
    <w:p w:rsidR="005B4C7B" w:rsidRDefault="005B4C7B" w:rsidP="005B4C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5B4C7B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Хід заняття</w:t>
      </w:r>
    </w:p>
    <w:p w:rsidR="005B4C7B" w:rsidRPr="005B4C7B" w:rsidRDefault="005B4C7B" w:rsidP="005B4C7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Розміщення сівозмін.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Для вирішення задачі розміщення сіво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змін доцільний поділ площі орних земель на екологічно однотипні території, що поєднують ділянки ріллі, порівняно однорідні за морфо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логічними і генетичними ознаками, механічним складом, вмістом гумусу і поживних речовин, агрофізичними і фізико-хімічними властивостями. Розміри екологічно однотипних територій залежать також від адаптивного потенціалу рослин, що культивуються (потенційної продуктивності, екологічної стійкості), можливостей оптимнації умов їхнього росту і розвитку за рахунок меліорації земель і агротехнічних заходів.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Виділення екологічно однотипних територій - класів і ландшафтних підкласів - проводять у процесі диференціації всіх земель господарства для сільськогосподарських та інших нестач ків.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Класи земель виділяють, виходячи з принципу спільності природних і господарських показників, подібностей технологій використання орних земель, підвищення продуктивності і здійснення заходів щодо їх охорони. Розподіл ріллі за класами використовують при розміщенні сівозмінних масивів.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I    клас - орні землі універсального призначення. До них відносяться повногірофільні і слабкоеродовані землі, розташовані на схилах крутістю до 3°, характер рельєфу і грунтово-агрохімічна характеристика яких дають можливість обробляти всі районовані культури, включаючи ерозійно-небезпечні.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II   клас -- орні землі, що мають характеристики І класу, але на яких окремі районовані культури, у силу особливостей фізико-хімічних властивостей грунтів і порід, що підстилають, не можуть бути забезпечені оптимальними умовами росту і розвитку навіть при здійсненні заходів щодо меліорації цих ґрунтів. Цей клас можна не виділяти, якщо є можливість замінити рослини, що культивуються з низьким у даних умовах адаптивним потенціалом, на інші, для яких ці фактори продуктивності, що лімітують, несуттєві.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III  клас - орні землі обмеженого використання. До них відносяться землі з ухилами, як правило, 3-7°, переважно зі слабко- і ссрсдньозмитими ґрунтами. На 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них виключається можливість вирощування ерозійно небезпечних культур і розміщення пару. На цих землях розміщають групи культур, що володіють високою ґрунтозахисною ефективністю.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ІY клас - малородючі орні землі з незадовільними для більшості рослин, що культивуються, фізико-хімічними властивостями, бідні органічною речовиною і рухливими формами поживних речовин, з несприятливим водним режимом і технологічними властивостями. До цього класу відноситься рілля з ухилами понад 7° із середньо- і сильнозмитими, розмитими ґрунтами, з ложбинистим, “гофрованим'’ рельєфом і з короткими крутими схилами різних експозицій. Такі землі виключають з активного сільськогосподарського обігу і переводять, як правило, в інші сільськогосподарські угіддя - косовиці, пасовища.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Ландшафтні підкласи встановлюють найбільш детальну екологічну однорідність, достатню для обґрунтованої організації молів і окремо оброблюваних робочих ділянок.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Дані підкласи встановлюють иілежно від стиглості ґрунтового покриву до весняних польових робіт, механічного складу, розходжень хімічних властивостей ґрунтів, експозиції схилу, ступеня ерозійної небезпеки, несприятливих природних процесів, що переважають у конкретних територіальних умовах.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Стиглість до весняних польових робіт визначають залежно від літологічного складу ґрунтоутворюючих порід і місця розташування земель по відношенню до форми рельєфу.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Підрозділяють землі на ранньостиглі - розташовані на високих вододільних рівнинах і терасах; складені пісками, супісками, легкими суглинками; середньостиглі - розташовані на знижених водо-роздільних рівнинах і терасах, а також їхніх схилах, високих заплавах, складені середніми суглинками, пісками н суглинками; пізньостиглі - розташовані в низинних вододільних рівнинах, терасах і на підніжжях ехилових рівнин і терас, заплавах і днищах балок, складені важкими суглинками, глинами, мулами, у межах яких спостерігається застій поталих і дощових вод. Характеристики ґрунту доповнюють даними про експозиції ехилових і інших форм рельєфу, що позначається на швидкості висихання як після сніготанення, так і в теплий період року після дощів через розходження кількості сонячної радіації та опадів, що надходять на різні схили.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На орних землях І класу варто розміщати сівозміни з максимально можливим насиченням інтенсивних ерозійно небезпеч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них культур. Як правило, це просапні, зернопропашні, зернопарові або плодозмінні сівозміни, у яких просапні культури можуть займати більше половини площі ріллі. На землях цього класу розміщають також овочеві й інші спеціальні сівозміни з просапними культурами.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Ці сівозміни розробляють відповідно до зональних рекомендацій з врахуванням забезпечення оптимальної періодичності повернення 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сільськогосподарських культур на колишнє місце вирощування і розміщення їх по кращих попередниках.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 орних землях II класу розміщають сівозміни, у яких вирощують сільськогосподарські культури, адаптивний потенціал яких найбільш повно, у порівнянні з іншими культурами, реалізується у обмежених локальних ґрунтових і мікрокліматичних умовах.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Розміщення полів 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сівозмін. У районах, підданих ерозії грунтів, розміщення полів сівозмін має свої особливості.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 схилових землях воно зводиться до реконструкції на екологічній основі сформованих ландшафтів в обсягах, обумовлених природними умовами території.  В умовах великої   неоднорідності природного середовища, що характерна для схилових земель, дуже важливо домогтися однакових ґрунтових і технологічних умов на площі усього поля. У ряді випадків, коли в цілому по полю цього досягти неможливо, однорідність забезпечується по робочих ділянках, що входять до складу поля.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Рівновеликість відіграє значну роль для забезпечення сталості посівних площ і обсягів польових робіт з років ротації сівозмін.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Велике значення рівновеликість полів має у випадках, коли трудомістка і високоприбуткова культура займає ціле поле сівозміні у господарстві введена одна сівозміна, де її вирощують.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Обов’язковою умовою організації території на схилових землях є поперекове виконання польових механізованих робіт. Тому ширина поля тут не має істотного значення. Важливо забезпечити оптимальну довжину гону - від 400 до 1500 м. При більш коротких гонах витрати  різко зростають.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Межі полів сівозмін і робочих ділянок узгоджуються з протиерозійними рубежами, межами класів і ландшафтних підкласів земель, що, як правило, збігаються з напрямками горизонталей.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Форма полів сівозмін має важливе значення для виконання польових механізованих робіт. Оптимальною є прямокугиик або квадрат при великих розмірах поля. В умовах складного рельєфу і різноманітності ґрунтових умов створити таку форму не можливо. Тому в цих випадках прагнуть забезпечити контурно-паралельне положення меж полів і робочих ділянок, щоб не допустити утворення клинів та інших складних для обробки форм ділянок з короткими гонами.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 розміщенні полів і робочих ділянок необхідно визначати положення направляючих ліній обробітку, щоб не допустити утворення загонів обробітку неправильної форми. Це особливо важливо на полях, де передбачається розміщення просапних культур.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Розміщення різних видів лінійних рубежів. При формуванні сільськогосподарських землеволодінь і землекористувань у районах, ґрунтовий 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покрив яких може піддаватися або вже підданий ерозії, дуже важливо правильно розмістити межі земельних масивів або ділянок.Межі землеволодінь і землекористувань варто визначати так, щоб створювалися сприятливі умови для внутрішньої організації території і раціонального використання земель. З цією мстою в рівнинних відкритих місцевостях з невеликими ухилами території (переважно до 1-3°) межі повинні, гю можливості, бути прямоліній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ними без зломів, з кутами поворотів 90° або близькими до них. У районах з пересіченим рельєфом розташування меж необхідно присто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совувати до вододільних тальвегів, елементів гідроірафічної мережі.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Лісосмуги.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Полезахисні лісосмуги формують у тісному зв'язку з іншими існуючими і проектними елементами, а також агротехнічними, гідротехнічними й організаційно-господарськими заходами.Система полезахисних лісосмуг включає основні (подовжні), допоміжні (поперечні) і додаткові лісосмуги.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Основні лісосмуги розміщають вздовж довгих сторін полів перпендикулярно напрямкові суховійних або хуртовинних вітрів. У зонах активного прояву водної ерозії їх варто створювати поперек схилу. Допоміжні лісосмуги проектують перпендикулярно основним, вздовж коротких сторін полів. Додаткові лісосмуги розміщають усередині полів у випадках, якщо основні і допоміжні не цілком виконують захисні функції.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Полезахисні лісосмуги формують на плоских вододілах і розлогих схилах крутістю до 2°. Відхилення напрямків смуг від норми стосовно напрямку суховійних або хуртовинних вітрів допускається до 30°. Відстань між основними лісосмугами повинна дорівнювати 30-35-кратній висоті дерев у них. Як правило, в умовах України відстань між подовжніми лісосмугами складає 300-700 м залежно від природно-кліматичних зон. Відстань між поперечними смугами не повинна перевищувати 2000, а на ґрунтах, підданих дефляції, -  1000 м.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Полезахисні лісосмуги розміщають по східних і південних межах полів сівозмін, а відносно польових доріг - з північної і східної сторін, щодо рельєфу - нижче польових доріг.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Стокорегулюючі лісосмуги підрозділяють на основні і додаткові. їх створюють на схилах більш 3° паралельно горизонталям (або з припустимим ухилом). Основні смуги проектують по межі земель із крутістю схилів 3°-7°, а також по межі иримережевого і гідрографічного земельних фондів. Додаткові стокорегулюючі лісосмуги розміщають, за необхідності, між основними лісосмугами з метою забезпечення оптимальних відстаней між ними: при крутості 3°-5° - 200-250 м, 5—7°-150- 200, більш 7°- 100-150 м. Стоко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регулюючі лісосмуги закріплюють контурно-смугову організацію території і є одночасно лінійними рубежами контурних полів.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При великих стокових навантаженнях лісосмуги сполучають з водонаправляючими земляними валами або валами-канавами.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         У місцях проходження концентрованого поверхневого стоку на робочих ділянках стокорегулюючі лісосмуги підсилюють чагарнико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вою рослинністю, розпилювачами стоку і валами.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</w:t>
      </w:r>
      <w:r w:rsidRPr="005B4C7B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Розпилювачі, вали-тераси, вали-дороги, вали-лимапп, вали- канави и інші споруди.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Гідротехнічні споруди впливають на схиловий стік за допомогою зменшення або припинення його руйнівного впливу в межах водозбору і використання для формування врожаю сільськогосподарських культур. Гідротехнічні споруди підрозділяють на розпилювачі стоку, водозатримуючі вали-канави; водонаправляючі вали-тераси, штучні водойми (ставки); гідроспоруди по дну ярів і балок (загати й ін.)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Розпилювачі стоку створюють по балках, біля лісосмуг при розміщенні смуг під кутом до горизонталей, а також по польових дорогах, що розташовані вздовж схилу крутістю більш 3°.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        Водозатримуючі вали-канави проектують на схилах більш 3° як самостійні споруди й у сполученні зі стокорегулюючимн лісосмугами. Канаву глибиною 0,6-1,0 м розміщують з боку підходу стоку на відстані 0,3-0,5 м від валу і заповнюють фільтрувальним матеріалом (щебінь, солома, хмиз, порубочні залишки від відходу в лісосмугах та ін.). Водонаправляючі вали-канави проектують під кутом до горизонталей з таким розрахунком, щоб вода, що перехоплюється ними, текла по канаві, не розмиваючи дно, і водоскидними спорудами (залужені водотоки, улоговинно-смугасті насадження, швидкотоки й ін.), що відводять поверхневий стік до місць його нагромадження - штучні водойми, гідрографічна мережа.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Вали-тераси із широкою підставою створюють на схилах більш 3° вздовж горизонталей паралельно один одному. Вони мають невелику висоту (0,3-0,4 м) і розложисті укоси (до 12°), що забезпечує прохідність по них тракторів і інших сільськогосподарських машин і знарядь.</w:t>
      </w:r>
    </w:p>
    <w:p w:rsid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val="uk-UA"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</w:t>
      </w:r>
      <w:r w:rsidRPr="005B4C7B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Дороги і споруди зрошувальної и осушувальної мереж. 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Внутрішньогосподарська дорожня мережа - найважливіша складова ланка організації території, зокрема і контурно- меліоративної. Проектовані дороги, як правило, сполучають із межами полів сівозмін, напрямками меліоративних каналів, валами, що водозатримуюгь і водорозноділяють, та іншими лінійними об’єктами.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 трасах доріг повинна буги мінімальна кількість перешкод (ярів, балок, рік і ін.), що вимагають спеціальних споруд, дороги не повинні відрізати дрібних земельних ділянок, незручних для механізованої обробки.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 господарствах, де є зрошувані землі, крім звичайних внут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 xml:space="preserve">рішньогосподарських проектують спеціальні експлуатаційні дороги, що служать в основному для проїзду вздовж каналів, безперешкодного підходу до них, 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пересування землерийної техніки при ремонті й очищенні каналів. Ці дороги прокладають вздовж основних транспортуючих воду каналів.</w:t>
      </w:r>
    </w:p>
    <w:p w:rsid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</w:pPr>
      <w:r w:rsidRPr="005B4C7B">
        <w:rPr>
          <w:rFonts w:ascii="Times New Roman" w:eastAsia="Times New Roman" w:hAnsi="Times New Roman" w:cs="Times New Roman"/>
          <w:b/>
          <w:bCs/>
          <w:color w:val="000405"/>
          <w:sz w:val="28"/>
          <w:szCs w:val="28"/>
          <w:lang w:eastAsia="ru-RU"/>
        </w:rPr>
        <w:t>Проектування системи ґрунтозахисних сівозмін.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 </w:t>
      </w:r>
    </w:p>
    <w:p w:rsidR="005B4C7B" w:rsidRPr="005B4C7B" w:rsidRDefault="005B4C7B" w:rsidP="005B4C7B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>Спеціальні грунтозахисні сівозміни застосовують на схилах крутизною понад 3° і на легких грунтах, що зазнають вітрової ерозії</w:t>
      </w:r>
      <w:bookmarkStart w:id="1" w:name="_ftnref1"/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fldChar w:fldCharType="begin"/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 xml:space="preserve"> 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HYPERLINK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 xml:space="preserve"> "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file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:///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C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:\\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Users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\\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User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\\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Desktop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\\%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0%9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C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1%83%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4%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BB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8%20%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BF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1%80%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BE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1%82%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8%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5%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1%80%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BE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7\\%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0%9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F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1%80%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BA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1%82%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8%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1%87%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0%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BD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%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1%96%201-4.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docx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" \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l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 xml:space="preserve"> "_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ftn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>1" \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instrText>o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instrText xml:space="preserve"> "" </w:instrTex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fldChar w:fldCharType="separate"/>
      </w:r>
      <w:r w:rsidRPr="005B4C7B">
        <w:rPr>
          <w:rFonts w:ascii="Times New Roman" w:eastAsia="Times New Roman" w:hAnsi="Times New Roman" w:cs="Times New Roman"/>
          <w:color w:val="010050"/>
          <w:sz w:val="28"/>
          <w:szCs w:val="28"/>
          <w:lang w:val="uk-UA" w:eastAsia="ru-RU"/>
        </w:rPr>
        <w:t>[1]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fldChar w:fldCharType="end"/>
      </w:r>
      <w:bookmarkEnd w:id="1"/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val="uk-UA" w:eastAsia="ru-RU"/>
        </w:rPr>
        <w:t xml:space="preserve">. 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Підбір, розміщення на полях і чергування культур спрямовані на захист грунту від руйну</w:t>
      </w:r>
      <w:r w:rsidRPr="005B4C7B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вання та підвищення його родючості. Цього досягають збільшенням кількості рослинної органіки, що надходить у грунт, і покриттям поверхні поля зеленим килимом рослин, подовження періоду, протягом якого грунт перебуває під захистом надземної маси культур і післязбиральних решток.</w:t>
      </w:r>
    </w:p>
    <w:p w:rsidR="001B6E63" w:rsidRPr="005B4C7B" w:rsidRDefault="001B6E63" w:rsidP="005B4C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6E63" w:rsidRPr="005B4C7B" w:rsidSect="005B4C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66"/>
    <w:rsid w:val="001B574C"/>
    <w:rsid w:val="001B6E63"/>
    <w:rsid w:val="005B4C7B"/>
    <w:rsid w:val="00C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4C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4C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5B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5B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4C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4C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4C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5B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5B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4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2073</Words>
  <Characters>11818</Characters>
  <Application>Microsoft Office Word</Application>
  <DocSecurity>0</DocSecurity>
  <Lines>98</Lines>
  <Paragraphs>27</Paragraphs>
  <ScaleCrop>false</ScaleCrop>
  <Company/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2021-01-28T13:04:00Z</dcterms:created>
  <dcterms:modified xsi:type="dcterms:W3CDTF">2021-01-28T13:09:00Z</dcterms:modified>
</cp:coreProperties>
</file>