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D8" w:rsidRPr="000470D8" w:rsidRDefault="000470D8" w:rsidP="000470D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470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Лекція 5</w:t>
      </w:r>
    </w:p>
    <w:p w:rsidR="001B6E63" w:rsidRDefault="000470D8" w:rsidP="000470D8">
      <w:pPr>
        <w:jc w:val="center"/>
        <w:rPr>
          <w:rStyle w:val="FontStyle30"/>
          <w:sz w:val="28"/>
          <w:szCs w:val="28"/>
          <w:lang w:val="uk-UA" w:eastAsia="uk-UA"/>
        </w:rPr>
      </w:pPr>
      <w:r w:rsidRPr="000470D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Тема 3. </w:t>
      </w:r>
      <w:r w:rsidRPr="000470D8">
        <w:rPr>
          <w:rStyle w:val="FontStyle30"/>
          <w:sz w:val="28"/>
          <w:szCs w:val="28"/>
          <w:lang w:val="uk-UA" w:eastAsia="uk-UA"/>
        </w:rPr>
        <w:t>Основні принципи і способи захисту грунтів від ерозії</w:t>
      </w:r>
    </w:p>
    <w:p w:rsidR="000470D8" w:rsidRPr="000470D8" w:rsidRDefault="000470D8" w:rsidP="000470D8">
      <w:pPr>
        <w:shd w:val="clear" w:color="auto" w:fill="FFFFFF"/>
        <w:spacing w:before="240" w:after="0"/>
        <w:ind w:left="-56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Принципи протиерозійної організації території.</w:t>
      </w:r>
    </w:p>
    <w:p w:rsidR="000470D8" w:rsidRPr="000470D8" w:rsidRDefault="000470D8" w:rsidP="000470D8">
      <w:pPr>
        <w:spacing w:before="240"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hyperlink r:id="rId6" w:tooltip="Схеми протиерозійних заходів." w:history="1">
        <w:r w:rsidRPr="000470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2. Схеми протиерозійних заході</w:t>
        </w:r>
        <w:proofErr w:type="gramStart"/>
        <w:r w:rsidRPr="000470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</w:t>
        </w:r>
        <w:proofErr w:type="gramEnd"/>
        <w:r w:rsidRPr="000470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</w:hyperlink>
    </w:p>
    <w:p w:rsidR="000470D8" w:rsidRPr="000470D8" w:rsidRDefault="000470D8" w:rsidP="000470D8">
      <w:pPr>
        <w:spacing w:before="240"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hyperlink r:id="rId7" w:tooltip="Організація угідь і сівозмін." w:history="1">
        <w:r w:rsidRPr="000470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3. Організація угідь і сівозмін.</w:t>
        </w:r>
      </w:hyperlink>
    </w:p>
    <w:p w:rsidR="000470D8" w:rsidRPr="000470D8" w:rsidRDefault="000470D8" w:rsidP="000470D8">
      <w:pPr>
        <w:spacing w:before="240"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0470D8" w:rsidRPr="000470D8" w:rsidRDefault="000470D8" w:rsidP="000470D8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1.Протиерозійну організацію території проводять відповідно до загальних принципів землеустрою. При цьому необхідно виконати такі основні вимоги:</w:t>
      </w:r>
    </w:p>
    <w:p w:rsidR="000470D8" w:rsidRPr="000470D8" w:rsidRDefault="000470D8" w:rsidP="000470D8">
      <w:pPr>
        <w:numPr>
          <w:ilvl w:val="0"/>
          <w:numId w:val="1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створити основу для впровадження науково обгрунтованої зональної системи ведення сільськогосподарського виробництва на еродованих і ерозійно небезпечних землях;</w:t>
      </w:r>
    </w:p>
    <w:p w:rsidR="000470D8" w:rsidRPr="000470D8" w:rsidRDefault="000470D8" w:rsidP="000470D8">
      <w:pPr>
        <w:numPr>
          <w:ilvl w:val="0"/>
          <w:numId w:val="1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здійснити протиерозійні заходи на всіх землях будь-якого призначення і господарського використання, де проявляються ерозійні процеси;</w:t>
      </w:r>
    </w:p>
    <w:p w:rsidR="000470D8" w:rsidRPr="000470D8" w:rsidRDefault="000470D8" w:rsidP="000470D8">
      <w:pPr>
        <w:numPr>
          <w:ilvl w:val="0"/>
          <w:numId w:val="1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виходити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виділенні категорій ерозійної небезпеки земель і проектуванні із кількісної оцінки факторів розвитку ерозії грунтів;</w:t>
      </w:r>
    </w:p>
    <w:p w:rsidR="000470D8" w:rsidRPr="000470D8" w:rsidRDefault="000470D8" w:rsidP="000470D8">
      <w:pPr>
        <w:numPr>
          <w:ilvl w:val="0"/>
          <w:numId w:val="1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розробити науково обґрунтований комплекс протиерозійних заходів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посл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ідовно від загального до часткового на території держави, області, району, сільської ради, яро-балочного водозбору;</w:t>
      </w:r>
    </w:p>
    <w:p w:rsidR="000470D8" w:rsidRPr="000470D8" w:rsidRDefault="000470D8" w:rsidP="000470D8">
      <w:pPr>
        <w:numPr>
          <w:ilvl w:val="0"/>
          <w:numId w:val="1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врахувати при проектуванні системи сівозмін і організації використання інших угідь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ідлягання ерозії небажаних земель або виникнення на них ерозійної небезпеки;</w:t>
      </w:r>
    </w:p>
    <w:p w:rsidR="000470D8" w:rsidRPr="000470D8" w:rsidRDefault="000470D8" w:rsidP="000470D8">
      <w:pPr>
        <w:numPr>
          <w:ilvl w:val="0"/>
          <w:numId w:val="1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виходять при розміщенні лінійних рубежів, формування полів і організації їх використання із основного завдання регулювання стоку, припинення змиву грунтів і ефективного застосування ґрунтозахисних технологій, а також високопродуктивного використання сільсько</w:t>
      </w: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 xml:space="preserve">господарської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техн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іки.</w:t>
      </w:r>
    </w:p>
    <w:p w:rsidR="000470D8" w:rsidRPr="000470D8" w:rsidRDefault="000470D8" w:rsidP="000470D8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Посл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ідовність протиерозійної організації території</w:t>
      </w:r>
      <w:r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t>.</w:t>
      </w:r>
    </w:p>
    <w:p w:rsidR="000470D8" w:rsidRPr="000470D8" w:rsidRDefault="000470D8" w:rsidP="000470D8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Проектування контурної організації території здійснюють у такій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посл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ідовності:</w:t>
      </w:r>
    </w:p>
    <w:p w:rsidR="000470D8" w:rsidRPr="000470D8" w:rsidRDefault="000470D8" w:rsidP="000470D8">
      <w:pPr>
        <w:numPr>
          <w:ilvl w:val="0"/>
          <w:numId w:val="2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виділяють еколого-технологічні групи і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ідгрупи земель;</w:t>
      </w:r>
    </w:p>
    <w:p w:rsidR="000470D8" w:rsidRPr="000470D8" w:rsidRDefault="000470D8" w:rsidP="000470D8">
      <w:pPr>
        <w:numPr>
          <w:ilvl w:val="0"/>
          <w:numId w:val="2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визначають і розміщують площі сівозмін, ділянки постійного залуження, багаторічні насадження і природні кормові угіддя;</w:t>
      </w:r>
    </w:p>
    <w:p w:rsidR="000470D8" w:rsidRPr="000470D8" w:rsidRDefault="000470D8" w:rsidP="000470D8">
      <w:pPr>
        <w:numPr>
          <w:ilvl w:val="0"/>
          <w:numId w:val="2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розташовують заходи постійної дії протиерозійного впорядкування території (лісосмуги, мережа доріг, земляні гідротехнічні споруди, залужені водотоки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,. 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охоронні прибережні захисні смуги);</w:t>
      </w:r>
    </w:p>
    <w:p w:rsidR="000470D8" w:rsidRPr="000470D8" w:rsidRDefault="000470D8" w:rsidP="000470D8">
      <w:pPr>
        <w:numPr>
          <w:ilvl w:val="0"/>
          <w:numId w:val="2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>за потреби проводять внутрішню польову організацію території, визначають робочі і технологічні ділянки всередині полі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;</w:t>
      </w:r>
    </w:p>
    <w:p w:rsidR="000470D8" w:rsidRPr="000470D8" w:rsidRDefault="000470D8" w:rsidP="000470D8">
      <w:pPr>
        <w:numPr>
          <w:ilvl w:val="0"/>
          <w:numId w:val="2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визначають ділянки, на яких треба провести заходи щодо відновлення родючості грунті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0470D8" w:rsidRPr="000470D8" w:rsidRDefault="000470D8" w:rsidP="000470D8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  Перша еколого-технологічна група земель з крутістю схилів 1-3° - на ній організуються інтенсивні польові сівозміни, в яких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.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концентровані всі просапні культури, що вирощуються за іненсівнішими технологіями. Господарства з більшою питомою вагою цієї групи повинні маги вищий питомий відсоток просапних культур. У господарствах з дуже пересіченим рельєфом передбачається зменшення питомої частки просапних і збільшення культур густого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пос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іву (зернових колосових і багаторічних трав). Це обумовлено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ізною ґрунтозахисною ефективністю цих культур. На землях даної групи в інтенсивних польових сівозмінах слід дотримуватись вимог науково обґрунтованого чергування культур. На таких землях зменшуються площі багаторічних трав або вони виключаються взагалі.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Для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відтворення родючості ґрунту збільшують норми внесення органічних і мінеральних добрив за рахунок другої та третьої еколого-технологічних груп.</w:t>
      </w:r>
    </w:p>
    <w:p w:rsidR="000470D8" w:rsidRPr="000470D8" w:rsidRDefault="000470D8" w:rsidP="000470D8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Друга технологічна група земель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містить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ділянки з крутістю схилів 3-7°. На ній організуються ґрунтозахисні сівозміни багаторічними травами і без просапних культур.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Пос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іви багаторічних грав разом з внесенням мінеральних добрив дозволяють проводити розширене відтворення гумусу і потенційної родючості ґрунту. Багаторічні трави - найефективніші ґрунтозахисні культури.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ім них, у сівозмінах вирощують культури густого посіву, що порівняно з просапними культурами мають вищу ґрунтозахисну ефективність, -озимі та ярі зернові, однорічні трави.</w:t>
      </w:r>
    </w:p>
    <w:p w:rsidR="000470D8" w:rsidRPr="000470D8" w:rsidRDefault="000470D8" w:rsidP="000470D8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ru-RU"/>
        </w:rPr>
        <w:t>Третя еколого-технологічна </w:t>
      </w: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група охоплює орні землі з крутістю схилів понад 7°. Ділянки цих земель засівають багаторічними травами і вилучають з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іллі. Вони перетворюються на штучні сіножаті з сіяних багаторічних трав. Такі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пос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іви найпродуктивніші на середньо- та сильноеродованих ґрунтах. Потенційна родючість на цих землях відтворюється за рахунок кореневих систем і поверхневих решток багаторічних трав, а також завдяки внесенню мінеральних добрив.</w:t>
      </w:r>
    </w:p>
    <w:p w:rsidR="000470D8" w:rsidRPr="000470D8" w:rsidRDefault="000470D8" w:rsidP="000470D8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        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 процесі землевпорядкування здійснюється перехід від пря</w:t>
      </w: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молінійної до контурної організації території з розміщенням сівозмін, полів і робочих ділянок, доріг, полезахисних лісосмуг та інших елементів організації території з максимальним наближенням до напрямку горизонталей або з допустимим відхиленням від них.   </w:t>
      </w:r>
      <w:proofErr w:type="gramEnd"/>
    </w:p>
    <w:p w:rsidR="000470D8" w:rsidRPr="000470D8" w:rsidRDefault="000470D8" w:rsidP="000470D8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Ґрунтозахисне землеробство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основ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 контурно-меліоративної організації території.     </w:t>
      </w:r>
    </w:p>
    <w:p w:rsidR="000470D8" w:rsidRPr="000470D8" w:rsidRDefault="000470D8" w:rsidP="000470D8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 xml:space="preserve">Ґрунтозахисна система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контурно-мел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іоративного землеробства має відповідати:</w:t>
      </w:r>
    </w:p>
    <w:p w:rsidR="000470D8" w:rsidRPr="000470D8" w:rsidRDefault="000470D8" w:rsidP="000470D8">
      <w:pPr>
        <w:numPr>
          <w:ilvl w:val="0"/>
          <w:numId w:val="3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раціональній структурі земельних угідь;</w:t>
      </w:r>
    </w:p>
    <w:p w:rsidR="000470D8" w:rsidRPr="000470D8" w:rsidRDefault="000470D8" w:rsidP="000470D8">
      <w:pPr>
        <w:numPr>
          <w:ilvl w:val="0"/>
          <w:numId w:val="3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раціональній структурі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пос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івних площ;</w:t>
      </w:r>
    </w:p>
    <w:p w:rsidR="000470D8" w:rsidRPr="000470D8" w:rsidRDefault="000470D8" w:rsidP="000470D8">
      <w:pPr>
        <w:numPr>
          <w:ilvl w:val="0"/>
          <w:numId w:val="3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раціональному розміщенню полів, сівозмінних масивів і робочих ділянок усередині полів з урахуванням умов рельє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фу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;</w:t>
      </w:r>
    </w:p>
    <w:p w:rsidR="000470D8" w:rsidRPr="000470D8" w:rsidRDefault="000470D8" w:rsidP="000470D8">
      <w:pPr>
        <w:numPr>
          <w:ilvl w:val="0"/>
          <w:numId w:val="3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ґрунтозахисним системам механічного обробітку грунтів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ідповідно до культури, рельєфу та кліматичних умов;</w:t>
      </w:r>
    </w:p>
    <w:p w:rsidR="000470D8" w:rsidRPr="000470D8" w:rsidRDefault="000470D8" w:rsidP="000470D8">
      <w:pPr>
        <w:numPr>
          <w:ilvl w:val="1"/>
          <w:numId w:val="3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меліоративним і культурно-технічним заходам на орних іемлях та природних кормових угіддях;</w:t>
      </w:r>
    </w:p>
    <w:p w:rsidR="000470D8" w:rsidRPr="000470D8" w:rsidRDefault="000470D8" w:rsidP="000470D8">
      <w:pPr>
        <w:numPr>
          <w:ilvl w:val="1"/>
          <w:numId w:val="3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раціональному розміщенню системи лісових насаджень;</w:t>
      </w:r>
    </w:p>
    <w:p w:rsidR="000470D8" w:rsidRPr="000470D8" w:rsidRDefault="000470D8" w:rsidP="000470D8">
      <w:pPr>
        <w:numPr>
          <w:ilvl w:val="1"/>
          <w:numId w:val="3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раціональному використанню природних кормових угідь;</w:t>
      </w:r>
    </w:p>
    <w:p w:rsidR="000470D8" w:rsidRPr="000470D8" w:rsidRDefault="000470D8" w:rsidP="000470D8">
      <w:pPr>
        <w:numPr>
          <w:ilvl w:val="1"/>
          <w:numId w:val="3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раціональному розміщенню лінійних рубежів (доріг, меж господарства, сівозмінних масивів, полів, робочих ділянок) макси</w:t>
      </w: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мально сполучених із природними (вододілами, межами угідь).</w:t>
      </w:r>
    </w:p>
    <w:p w:rsidR="000470D8" w:rsidRPr="000470D8" w:rsidRDefault="000470D8" w:rsidP="000470D8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Основою КМЗ є комплекс протиерозійних заходів, який взаємопов’язує організаційно-господарські, агротехнічні, лук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о-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лісомеліоративні та гідротехнічні протиерозійні заходи. Це дає змогу з найменшими матеріальними затратами припинити або скоротити до природних меж ерозійні процеси й мати максимальний вихід сільськогосподарської продукції з одиниці площі при збереженні та постійному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ідвищенні родючості ґрунту.</w:t>
      </w:r>
    </w:p>
    <w:p w:rsidR="000470D8" w:rsidRPr="000470D8" w:rsidRDefault="000470D8" w:rsidP="000470D8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Грунтозахисна система землеробства з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контурно-мел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іоратив</w:t>
      </w: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ною організацією території складається з таких основних ланок:</w:t>
      </w:r>
    </w:p>
    <w:p w:rsidR="000470D8" w:rsidRPr="000470D8" w:rsidRDefault="000470D8" w:rsidP="000470D8">
      <w:pPr>
        <w:numPr>
          <w:ilvl w:val="0"/>
          <w:numId w:val="4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контурно-мел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іоративної організації території з напрямними</w:t>
      </w:r>
    </w:p>
    <w:p w:rsidR="000470D8" w:rsidRPr="000470D8" w:rsidRDefault="000470D8" w:rsidP="000470D8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ініями обробітку ґрунту;</w:t>
      </w:r>
    </w:p>
    <w:p w:rsidR="000470D8" w:rsidRPr="000470D8" w:rsidRDefault="000470D8" w:rsidP="000470D8">
      <w:pPr>
        <w:numPr>
          <w:ilvl w:val="0"/>
          <w:numId w:val="5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системи сівозмін;</w:t>
      </w:r>
    </w:p>
    <w:p w:rsidR="000470D8" w:rsidRPr="000470D8" w:rsidRDefault="000470D8" w:rsidP="000470D8">
      <w:pPr>
        <w:numPr>
          <w:ilvl w:val="0"/>
          <w:numId w:val="5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системи ґрунтозахисного обробітку ґрунту;</w:t>
      </w:r>
    </w:p>
    <w:p w:rsidR="000470D8" w:rsidRPr="000470D8" w:rsidRDefault="000470D8" w:rsidP="000470D8">
      <w:pPr>
        <w:numPr>
          <w:ilvl w:val="0"/>
          <w:numId w:val="5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системи удобрення культур;</w:t>
      </w:r>
    </w:p>
    <w:p w:rsidR="000470D8" w:rsidRPr="000470D8" w:rsidRDefault="000470D8" w:rsidP="000470D8">
      <w:pPr>
        <w:numPr>
          <w:ilvl w:val="0"/>
          <w:numId w:val="5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системи захисту рослин від бур’яні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, хвороб та шкідників;</w:t>
      </w:r>
    </w:p>
    <w:p w:rsidR="000470D8" w:rsidRPr="000470D8" w:rsidRDefault="000470D8" w:rsidP="000470D8">
      <w:pPr>
        <w:numPr>
          <w:ilvl w:val="0"/>
          <w:numId w:val="5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системи машин і знарядь;</w:t>
      </w:r>
    </w:p>
    <w:p w:rsidR="000470D8" w:rsidRPr="000470D8" w:rsidRDefault="000470D8" w:rsidP="000470D8">
      <w:pPr>
        <w:numPr>
          <w:ilvl w:val="0"/>
          <w:numId w:val="5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системи насінництва.</w:t>
      </w:r>
    </w:p>
    <w:p w:rsidR="000470D8" w:rsidRPr="000470D8" w:rsidRDefault="000470D8" w:rsidP="000470D8">
      <w:pPr>
        <w:numPr>
          <w:ilvl w:val="0"/>
          <w:numId w:val="5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</w:p>
    <w:p w:rsidR="000470D8" w:rsidRPr="000470D8" w:rsidRDefault="000470D8" w:rsidP="000470D8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2. Розроблена в Україні концепція розвитку землеробства передбачає створення ґрунтозахисної системи, яка базується на протиерозійній організації території, що представляє собою екосистеми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ізних рівнів структурно-ландшафтних утворень, починаючи від великих територіальних одиниць до окремої ділянки землі (робочої ділянки). В умовах країни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такими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великими </w:t>
      </w: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>територіальними одиницями є області, де необхідно визначити ефективні напрямки протиерозійного захисту земель, встановити обсяги протиерозійних заходів щодо періодів їхнього здійснення.</w:t>
      </w:r>
    </w:p>
    <w:p w:rsidR="000470D8" w:rsidRPr="000470D8" w:rsidRDefault="000470D8" w:rsidP="000470D8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t xml:space="preserve">         </w:t>
      </w: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Основними принципами схем протиерозійних заходів щодо областей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є:</w:t>
      </w:r>
      <w:proofErr w:type="gramEnd"/>
    </w:p>
    <w:p w:rsidR="000470D8" w:rsidRPr="000470D8" w:rsidRDefault="000470D8" w:rsidP="000470D8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t xml:space="preserve">    </w:t>
      </w: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-комплексність протиерозійного захисту земель, що забезпечує оптимальне сполучення організаційно-господарських, агротехнічних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,л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ісомеліоративних і гідротехнічних заходів;</w:t>
      </w:r>
    </w:p>
    <w:p w:rsidR="000470D8" w:rsidRPr="000470D8" w:rsidRDefault="000470D8" w:rsidP="000470D8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t xml:space="preserve">     </w:t>
      </w: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-диференційованість застосування протиерозійних заході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</w:p>
    <w:p w:rsidR="000470D8" w:rsidRPr="000470D8" w:rsidRDefault="000470D8" w:rsidP="000470D8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t xml:space="preserve">     </w:t>
      </w: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-залежно від конкретних природних і економічних умов, активності і характеру процесі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;</w:t>
      </w:r>
    </w:p>
    <w:p w:rsidR="000470D8" w:rsidRPr="000470D8" w:rsidRDefault="000470D8" w:rsidP="000470D8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t xml:space="preserve">     </w:t>
      </w: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-економічність і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ст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ійкість заходів, що передбачаються.</w:t>
      </w:r>
    </w:p>
    <w:p w:rsidR="000470D8" w:rsidRPr="000470D8" w:rsidRDefault="000470D8" w:rsidP="000470D8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t xml:space="preserve">          </w:t>
      </w: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Територія кожної області досить неоднорідна за природними умовами. Клімат, геологічна будова, рельєф, розчленованість території яружно-балковою і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ічковою мережею, ґрунтовий і рослинний покрив істотно різні. Тому встановлення фактора впливу природних умов на ерозійні процеси в об’єктивно сформованих особливостях сільськогосподарського виробництва є одним з важливих завдань схеми протиерозійних заходів області. Для його рішення проводять природно-ерозійне зонування, що базується на показниках, шо характеризують протиерозійну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ст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ійкість ґрунтів, виразність зливових опадів, ліснстість, розораність і сільськогосподарське освоєння території, наявність схилових земель в їх ув’язуванні з басейнами рік і окремих водозбірних територій. При цьому кількісними показниками, що визначають ці зони, є: густота яружно-балкової мережі (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км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/км); глибина розчленованості рельєфу (м); ураженість ярами (га/км); еродованість сільськогосподарських угідь, %.</w:t>
      </w:r>
    </w:p>
    <w:p w:rsidR="000470D8" w:rsidRPr="000470D8" w:rsidRDefault="000470D8" w:rsidP="000470D8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Інтегруючими показниками в даному випадку є коефіцієнти еродованості і потенційний модуль змиву ґрунту (т/га).</w:t>
      </w:r>
    </w:p>
    <w:p w:rsidR="000470D8" w:rsidRPr="000470D8" w:rsidRDefault="000470D8" w:rsidP="000470D8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 розробці схем протиерозійних заходів області коефіцієнт, що врахову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є,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ступінь змитості ґрунтів, для нєзмитих земель прийма</w:t>
      </w: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ють 1,0; слабкозмитих —1,3-1,5; середиьозмитих-1,8-2,2; сильнозмитих - 2,5- 3,0.</w:t>
      </w:r>
    </w:p>
    <w:p w:rsidR="000470D8" w:rsidRPr="000470D8" w:rsidRDefault="000470D8" w:rsidP="000470D8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У кожній з виділених зон необхідно визначній типові господарства, територія яких характерна для всієї зони або для окремих груп господарств у геоморфологічному, гідрографічному, лісомеліоративному,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грунтовому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геологічному відношеннях. Типові господарства вибирають з метою розробки по них комплексу протиерозійних заходів з наступною екстраполяцією їх за питомою вагою на 1 га сільськогосподарських угідь на територію всієї природно-ерозійної зони або групи господарств цієї зони. Кількість типових господарств встановлюють з таким розрахунком, щоб отримані результати за обсягами протиерозійних робіт були максимально достовірними і відповідали природним і економічним умовам території області в цілому.</w:t>
      </w:r>
    </w:p>
    <w:p w:rsidR="000470D8" w:rsidRPr="000470D8" w:rsidRDefault="000470D8" w:rsidP="000470D8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 xml:space="preserve">У типових господарствах проводять польове обстеження, у результаті якого визначають технологічні групи земель; осередки водної і вітрової ерозії, причини їх виникнення; виявляють ділянки, що інтенсивно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іддаються площинній або лінійній ерозії; зсувні явища; діючі яри і розмиті ділянки, їхні параметри; а також наявність і стан протиерозійних гідротехнічних споруд, захисних лісових насаджень.</w:t>
      </w:r>
    </w:p>
    <w:p w:rsidR="000470D8" w:rsidRPr="000470D8" w:rsidRDefault="000470D8" w:rsidP="000470D8">
      <w:pPr>
        <w:pStyle w:val="a5"/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</w:p>
    <w:p w:rsidR="000470D8" w:rsidRPr="000470D8" w:rsidRDefault="000470D8" w:rsidP="000470D8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   3.Організація угідь і сівозмін у районах ерозії грунтів є найважливішою складовою частиною внутрішньогосподарського землевпорядкування, при розробці якої визначається господарське призначення і характер використання кожної ділянки землі, з обліком його природних і економічних властивостей і вимог захисту грунтів </w:t>
      </w:r>
      <w:proofErr w:type="gramStart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0470D8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 ерозії.</w:t>
      </w:r>
    </w:p>
    <w:p w:rsidR="000470D8" w:rsidRPr="00FF092B" w:rsidRDefault="000470D8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Основними її завданнями є створення організаційн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о-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господарських і територіальних умов для найбільш повного й ефективного використання земельних угідь, захисту від ерозії і підвищення родючості еродованих і земель, що еродуються, одержання найбільшої кількості продукції з одиниці площі при найменших витратах засобів і праці, найбільш ефективного використання сільськогосподарської техніки й організації праці. Особливістю організації угідь і сівозмін 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районах ерозії грунтів є розробка комплексу протиерозійних заходів для усіх видів угідь. Організація угідь і сівозмін у цих 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районах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включає встановлення складу і площ угідь; розробку заходів щодо поліпшення угідь; проектування системи раціональних сівозмін.</w:t>
      </w:r>
    </w:p>
    <w:p w:rsidR="000470D8" w:rsidRPr="00FF092B" w:rsidRDefault="000470D8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Встановлення складу і площ угідь. 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районах ерозії ґрунтів проектований склад угідь повинний забезпечити поряд з іншими умовами можливість ефективного застосування комплексу протиерозійних заходів.</w:t>
      </w:r>
    </w:p>
    <w:p w:rsidR="000470D8" w:rsidRPr="00FF092B" w:rsidRDefault="000470D8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проекті не повинно бути угідь, непридатних для використання. Усі вони повинні бути включені в сільськогосподарське використання або 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 залісення.</w:t>
      </w:r>
    </w:p>
    <w:p w:rsidR="000470D8" w:rsidRPr="00FF092B" w:rsidRDefault="000470D8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Тому при встановленні складу і площ угіді основна увага приділяється захистові їх від ерозії і встановленню площ 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 захисні лісові насадження, гідротехнічні протиерозійні споруди, дорожню мережу.</w:t>
      </w:r>
    </w:p>
    <w:p w:rsidR="000470D8" w:rsidRPr="00FF092B" w:rsidRDefault="000470D8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У випадках, коли площа 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іллі скорочується, необхідно перед</w:t>
      </w:r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бачати більш інтенсивне використання всіх сільськогосподарських угідь, щоб зберегти посівні площі зернових і технічних культур.</w:t>
      </w:r>
    </w:p>
    <w:p w:rsidR="000470D8" w:rsidRPr="00FF092B" w:rsidRDefault="000470D8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метою ефективного використання земель під багаторічні насадження варто виділяти схили балок, непридатні для інтенсивного землеробства. При розміщенні багаторічних насаджень на орних землях для них виділяють найбільш круті нижні частини схилі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, де можливо їхнє терасування.</w:t>
      </w:r>
    </w:p>
    <w:p w:rsidR="000470D8" w:rsidRPr="00FF092B" w:rsidRDefault="000470D8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При відводі земель 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ід пасовища необхідно враховувати, щоб при відповідному протиерозійному впорядкуванні території і проведенні заходів щодо </w:t>
      </w:r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 xml:space="preserve">поліпшення були припинені ерозійні процеси, поліпшений рослинний покрив і підвищена продуктивність. Використання схилів і днищ балок 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ід пасовища проектується з обов’язковим їхнім поліпшенням і правильною організацією випасання худоби. Круті й еродовані схили відводять 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 пасовища зі строго нормованим випасом.</w:t>
      </w:r>
    </w:p>
    <w:p w:rsidR="000470D8" w:rsidRPr="00FF092B" w:rsidRDefault="000470D8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 сильноеродованих і порізаних ярами і вимоїнами пасовищах намічаються заходи щодо зарівнювання вимоїн і виположування ярів, а де це неможливо - проектують залісення.</w:t>
      </w:r>
    </w:p>
    <w:p w:rsidR="000470D8" w:rsidRPr="00FF092B" w:rsidRDefault="000470D8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У районах вітрової ерозії оранка природних кормових угідь без попереднього їхнього захисту може 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ідсилити розвиток ерозії. Однак відвід орних земель під захисні лісові насадження, виробниче будівництво, дороги й інші цілі, як правило, повинний бути компенсований за рахунок освоєння нових земель.</w:t>
      </w:r>
    </w:p>
    <w:p w:rsidR="000470D8" w:rsidRPr="00FF092B" w:rsidRDefault="000470D8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        Місце розташування і площі основних протиерозійних лісових насаджень визначаються конкретними природними умовами. У районах водної ерозії вирішальний вплив на розміщення таких насаджень робить рельєф місцевості. 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вітровій ерозії, коли рельєф виражений незначно, лісосмуги розміщаються поперек пануючого напрямку вітру. При одночасному прояві водної і вітрової ерозії ґрунтів 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ісосмуги розміщаються з врахуванням рельєфу. Це обумовлено тим, що відхилення лісосмуг від перпендикулярного напрямку пануючих ві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тр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 до 30°, а іноді і більше, незначно знижує їх захисну роль.</w:t>
      </w:r>
    </w:p>
    <w:p w:rsidR="000470D8" w:rsidRPr="00FF092B" w:rsidRDefault="000470D8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організації угідь проектується система захисних лісосмуг. Лісосмуги повинні займати мінімальну площу, але достатню для припинення ерозії в сукупності з іншими протиерозійними заходами.</w:t>
      </w:r>
    </w:p>
    <w:p w:rsidR="000470D8" w:rsidRPr="00FF092B" w:rsidRDefault="000470D8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У районах водної ерозії ґрунтів 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ідсоток залісеності залежить від коефіцієнта розчленованості території і еродованості орних земель.</w:t>
      </w:r>
    </w:p>
    <w:p w:rsidR="000470D8" w:rsidRPr="00FF092B" w:rsidRDefault="000470D8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Коефіцієнт розчленованості території деякою мірою визначає види захисних лісосмуг і їхню структуру. При 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велик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ій розчленованості території більша питома вага буде займати балочні і прибалкові лісо</w:t>
      </w:r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смуги, а при невеликій розчленованості, коли збільшується довжина схилів, збільшується питома вага водорегулювальних лісосмуг.</w:t>
      </w:r>
    </w:p>
    <w:p w:rsidR="000470D8" w:rsidRPr="00FF092B" w:rsidRDefault="000470D8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Балочні і прибалкові лісосмуги 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 б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ільшості випадків можливо розміщати за рахунок природних пасовищ. Приводороздільні, водорегулювальні і полезахисні лісосмуги, що розташовуються 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основному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на орних землях, повинні мати мінімальну ширину.</w:t>
      </w:r>
    </w:p>
    <w:p w:rsidR="000470D8" w:rsidRPr="00FF092B" w:rsidRDefault="000470D8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Проектування кожної лісосмуги і встановлення її ширини повинні бути обгрунтовані в протиерозійному й економічному відношенні.</w:t>
      </w:r>
    </w:p>
    <w:p w:rsidR="000470D8" w:rsidRPr="00FF092B" w:rsidRDefault="000470D8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районах ерозії ґрунтів поряд з лісомеліоративними заходами проектують гідротехнічні споруди. Вони повинні забезпечувати затримку або відвід </w:t>
      </w:r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>поверхневого стоку, запобігання концентрації водних потоків і сприяти кращому зволоженню прилягаючих схилі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0470D8" w:rsidRPr="00FF092B" w:rsidRDefault="000470D8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 виборі гідротехнічних споруд враховуються види ерозії, площа водозбору, рельєф місцевості, інтенсивність ерозійних процесів, цінність об’єкта, що захищається, витрата стоку й інші фактори.</w:t>
      </w:r>
    </w:p>
    <w:p w:rsidR="000470D8" w:rsidRPr="00FF092B" w:rsidRDefault="000470D8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Найпростіші гідротехнічні споруди в першу чергу проектуються у верхів’ях діючих ярів. У боротьбі з площинною ерозією вони створюються для затримки опаді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на місці їхнього випадання. Це забезпечує всмоктування вологи в ґрунт, запобігає поверхневому стоку, знижує його швидкість і припиняє змив ґрунту. Для цього проектують і споруджують водозатримуючі вали і гребені, лимани, ставки, проводять терасування схилі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та ін.</w:t>
      </w:r>
    </w:p>
    <w:p w:rsidR="000470D8" w:rsidRPr="00FF092B" w:rsidRDefault="000470D8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У посушливих районах на розлогих схилах 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крут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істю до 1-2° для боротьби з ерозією і затримкою поверхневого стоку проектуються борозни, вали, гребені, лимани.</w:t>
      </w:r>
    </w:p>
    <w:p w:rsidR="000470D8" w:rsidRDefault="000470D8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Водонакопичу вальні борозни застосовуються в районах з </w:t>
      </w:r>
      <w:proofErr w:type="gramStart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невеликою</w:t>
      </w:r>
      <w:proofErr w:type="gramEnd"/>
      <w:r w:rsidRPr="00FF092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кількістю опадів. Водоутримуючі гребені проектуються для стримки великої кількості поверхневих вод.</w:t>
      </w:r>
    </w:p>
    <w:p w:rsidR="00FF092B" w:rsidRPr="00FF092B" w:rsidRDefault="00FF092B" w:rsidP="00FF092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  <w:bookmarkStart w:id="0" w:name="_GoBack"/>
      <w:bookmarkEnd w:id="0"/>
    </w:p>
    <w:sectPr w:rsidR="00FF092B" w:rsidRPr="00FF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145"/>
    <w:multiLevelType w:val="multilevel"/>
    <w:tmpl w:val="21AE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078E9"/>
    <w:multiLevelType w:val="multilevel"/>
    <w:tmpl w:val="BD98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1E7791"/>
    <w:multiLevelType w:val="multilevel"/>
    <w:tmpl w:val="85E0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8E57CE"/>
    <w:multiLevelType w:val="multilevel"/>
    <w:tmpl w:val="4F64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8A0A25"/>
    <w:multiLevelType w:val="multilevel"/>
    <w:tmpl w:val="C400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02"/>
    <w:rsid w:val="000470D8"/>
    <w:rsid w:val="001B6E63"/>
    <w:rsid w:val="00FB6102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70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0470D8"/>
    <w:rPr>
      <w:rFonts w:ascii="Times New Roman" w:hAnsi="Times New Roman" w:cs="Times New Roman"/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0470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470D8"/>
    <w:rPr>
      <w:color w:val="0000FF"/>
      <w:u w:val="single"/>
    </w:rPr>
  </w:style>
  <w:style w:type="paragraph" w:customStyle="1" w:styleId="20">
    <w:name w:val="20"/>
    <w:basedOn w:val="a"/>
    <w:rsid w:val="000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140"/>
    <w:basedOn w:val="a"/>
    <w:rsid w:val="000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0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61"/>
    <w:basedOn w:val="a"/>
    <w:rsid w:val="000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">
    <w:name w:val="151"/>
    <w:basedOn w:val="a"/>
    <w:rsid w:val="000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47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70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0470D8"/>
    <w:rPr>
      <w:rFonts w:ascii="Times New Roman" w:hAnsi="Times New Roman" w:cs="Times New Roman"/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0470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470D8"/>
    <w:rPr>
      <w:color w:val="0000FF"/>
      <w:u w:val="single"/>
    </w:rPr>
  </w:style>
  <w:style w:type="paragraph" w:customStyle="1" w:styleId="20">
    <w:name w:val="20"/>
    <w:basedOn w:val="a"/>
    <w:rsid w:val="000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140"/>
    <w:basedOn w:val="a"/>
    <w:rsid w:val="000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0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61"/>
    <w:basedOn w:val="a"/>
    <w:rsid w:val="000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">
    <w:name w:val="151"/>
    <w:basedOn w:val="a"/>
    <w:rsid w:val="000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47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l.kpt.sumdu.edu.ua/mod/book/view.php?id=19137&amp;chapterid=74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.kpt.sumdu.edu.ua/mod/book/view.php?id=19137&amp;chapterid=74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2021-01-28T12:12:00Z</dcterms:created>
  <dcterms:modified xsi:type="dcterms:W3CDTF">2021-01-28T12:27:00Z</dcterms:modified>
</cp:coreProperties>
</file>