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D" w:rsidRPr="00C7440D" w:rsidRDefault="00C7440D" w:rsidP="00C7440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9577C0">
        <w:rPr>
          <w:rFonts w:ascii="Times New Roman" w:eastAsia="Times New Roman" w:hAnsi="Times New Roman" w:cs="Times New Roman"/>
          <w:b/>
          <w:sz w:val="24"/>
          <w:szCs w:val="24"/>
        </w:rPr>
        <w:t>2.13</w:t>
      </w:r>
      <w:r w:rsidRPr="00C7440D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ОСНОВИ ЕКСПЛУАТАЦІЇ БУДІВЕЛЬНИХ МАШИН</w:t>
      </w:r>
    </w:p>
    <w:p w:rsidR="00C7440D" w:rsidRPr="00C7440D" w:rsidRDefault="00C7440D" w:rsidP="00C7440D">
      <w:pPr>
        <w:spacing w:line="2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45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Механізація праці в будівництві відіграє першочергову роль у виконанні планів розвитку,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ідвищенні темпів зростання виробництва, продуктивності, поліпшенні умов праці і зниженні вартості будівельних робіт. Безупинно зростаючий парк і номенклатура будівельних машин вимагають серйозної уваги до організації експлуатації, правильного та найефективнішого використання величезного парку будівельної техніки.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Відповідно до цього експлуатація машин охоплює широке коло питань вибору і комплектації машин для комплексної механізації технологічного процесу, одержання від кожної машини найбільшої продуктивності, забезпечення економічної ефективності і мінімальної вартості робіт, з одного боку, і забезпечення постійної працездатності, безпеки та довговічності роботи машини, з іншого.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Першу групу питань прийнято називати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виробничою,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а другу – </w:t>
      </w:r>
      <w:proofErr w:type="gramStart"/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ічною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експлуатацією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40D" w:rsidRPr="00C7440D" w:rsidRDefault="00C7440D" w:rsidP="00C7440D">
      <w:pPr>
        <w:spacing w:line="20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b/>
          <w:sz w:val="24"/>
          <w:szCs w:val="24"/>
        </w:rPr>
        <w:t>2.13.1. Виробнича експлуатація</w:t>
      </w:r>
    </w:p>
    <w:p w:rsidR="00C7440D" w:rsidRPr="00C7440D" w:rsidRDefault="00C7440D" w:rsidP="00C7440D">
      <w:pPr>
        <w:spacing w:line="2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9577C0" w:rsidRDefault="00C7440D" w:rsidP="009577C0">
      <w:pPr>
        <w:spacing w:line="243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Більшість питань виробничої експлуатації висвітлювалися в попередніх частинах у матеріалі про окремі машини та повинні розглядатися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час вивчення технології, організації і економіки будівельного виробництва. Структу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 xml:space="preserve">ра будівельних </w:t>
      </w:r>
      <w:proofErr w:type="gramStart"/>
      <w:r w:rsidR="00DE21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DE21B4">
        <w:rPr>
          <w:rFonts w:ascii="Times New Roman" w:eastAsia="Times New Roman" w:hAnsi="Times New Roman" w:cs="Times New Roman"/>
          <w:sz w:val="24"/>
          <w:szCs w:val="24"/>
        </w:rPr>
        <w:t>ідрозділів, кон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центрація будівельної техніки та підпорядкованість організацій, що володіють цією технікою, у різних відомствах різна, не є строго встановленою і далеко не завжди 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оптимальною. Пересувні механіз</w:t>
      </w:r>
      <w:r w:rsidR="00DE21B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вані колони (ПМК), управління механізації (зокрема спеціалізовані), трести механізації та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ізні будівельні </w:t>
      </w:r>
      <w:r w:rsidR="00FF3EA0">
        <w:rPr>
          <w:rFonts w:ascii="Times New Roman" w:eastAsia="Times New Roman" w:hAnsi="Times New Roman" w:cs="Times New Roman"/>
          <w:sz w:val="24"/>
          <w:szCs w:val="24"/>
        </w:rPr>
        <w:t>управління виконують будівельні</w:t>
      </w:r>
      <w:bookmarkStart w:id="0" w:name="page232"/>
      <w:bookmarkEnd w:id="0"/>
      <w:r w:rsidR="009577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роботи самостійно і на умовах субпідрядних організацій.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 взаємини обумовлюються договорами, в основі яких лежить вартість робіт. Вартість складається з низки витрат, які умовно підрозділяються на постійні, одноразові та експлуатаційні.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28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Постійні витрати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7440D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включають відрахування на погашення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вартості машини, капітальний ремонт і утримання бази механізації, гаражів, доріг і шляхів, що перебувають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межах будівельного майданчика. Перші дві групи витрат звуться амортизаційні. Постійні витрати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ідраховуються на річний період.</w:t>
      </w:r>
    </w:p>
    <w:p w:rsidR="00C7440D" w:rsidRPr="00C7440D" w:rsidRDefault="00C7440D" w:rsidP="00C7440D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25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Одноразові витрати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7440D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враховують витрати на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ідготовку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машини до роботи в конкретних умовах на робочому місці, включаючи доставку машини на робоче місце і назад на базу та улаштування тимчасових споруджень (фундаменти, навіси, естакади),</w:t>
      </w:r>
    </w:p>
    <w:p w:rsidR="00C7440D" w:rsidRPr="00C7440D" w:rsidRDefault="00C7440D" w:rsidP="00C7440D">
      <w:pPr>
        <w:numPr>
          <w:ilvl w:val="0"/>
          <w:numId w:val="1"/>
        </w:numPr>
        <w:tabs>
          <w:tab w:val="left" w:pos="165"/>
        </w:tabs>
        <w:spacing w:line="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також на її монтаж, демонтаж і пробний пуск, включаючи витрати з перестановки машини усередині будівельного майданчика.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Одноразові витрати визначають за час роботи машини на майданчику.</w:t>
      </w:r>
      <w:proofErr w:type="gramEnd"/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28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Експлуатаційні витрати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7440D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ідраховуються на одну годину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змінного робочого часу або зміну. Вони включають заробітну плату робітників, керуючих машиною, вартість палива, енергії, води, мастильних та обтиральних матеріалів, витрати на заміну зношеного інструмента і виконання ремонтів (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ім капітальних) .</w:t>
      </w:r>
    </w:p>
    <w:p w:rsidR="00C7440D" w:rsidRPr="00C7440D" w:rsidRDefault="00C7440D" w:rsidP="00C7440D">
      <w:pPr>
        <w:spacing w:line="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8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Постійні, одноразові та експлуатаційні витрати,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ідраховані для однієї години або робочої зміни, звуться вартістю машино-години або машино-зміни.</w:t>
      </w:r>
    </w:p>
    <w:p w:rsidR="00C7440D" w:rsidRPr="00C7440D" w:rsidRDefault="00C7440D" w:rsidP="00C7440D">
      <w:pPr>
        <w:spacing w:line="20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b/>
          <w:sz w:val="24"/>
          <w:szCs w:val="24"/>
        </w:rPr>
        <w:t xml:space="preserve">2.13.2. </w:t>
      </w:r>
      <w:proofErr w:type="gramStart"/>
      <w:r w:rsidRPr="00C7440D">
        <w:rPr>
          <w:rFonts w:ascii="Times New Roman" w:eastAsia="Times New Roman" w:hAnsi="Times New Roman" w:cs="Times New Roman"/>
          <w:b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b/>
          <w:sz w:val="24"/>
          <w:szCs w:val="24"/>
        </w:rPr>
        <w:t>ічна експлуатація</w:t>
      </w:r>
    </w:p>
    <w:p w:rsidR="00C7440D" w:rsidRPr="00C7440D" w:rsidRDefault="00C7440D" w:rsidP="00C7440D">
      <w:pPr>
        <w:spacing w:line="2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48" w:lineRule="auto"/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Високопродуктивна робота будь-якої машини можлива тільки в тому випадку, якщо машина перебуває в справному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ічному стані. Утримання машини в справному технічному стані і постійній готовності до роботи головне завдання технічної експлуатації машин.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DE21B4" w:rsidP="00DE21B4">
      <w:pPr>
        <w:tabs>
          <w:tab w:val="left" w:pos="857"/>
        </w:tabs>
        <w:spacing w:line="23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C7440D" w:rsidRPr="00C7440D">
        <w:rPr>
          <w:rFonts w:ascii="Times New Roman" w:eastAsia="Times New Roman" w:hAnsi="Times New Roman" w:cs="Times New Roman"/>
          <w:sz w:val="24"/>
          <w:szCs w:val="24"/>
        </w:rPr>
        <w:t xml:space="preserve">основу технічної експлуатації покладена система планово-попереджувального ремонту (ППР). Сутність її полягає в періодичних планових оглядах машин, обов’язковому проведенні </w:t>
      </w:r>
      <w:proofErr w:type="gramStart"/>
      <w:r w:rsidR="00C7440D"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="00C7440D" w:rsidRPr="00C7440D">
        <w:rPr>
          <w:rFonts w:ascii="Times New Roman" w:eastAsia="Times New Roman" w:hAnsi="Times New Roman" w:cs="Times New Roman"/>
          <w:sz w:val="24"/>
          <w:szCs w:val="24"/>
        </w:rPr>
        <w:t>ічного обслуговування після наробітку певного числа годин і виконання ремонту в необхідний термін.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У процесі роботи машин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впливом різних причин окремі деталі змінюють свою форму і розміри, слабшають кріплення, зношуються сполучення рухливих деталей, з’являються корозія та інші дефекти, які порушують нормальну роботу машини, знижують її</w:t>
      </w:r>
      <w:bookmarkStart w:id="1" w:name="page233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працездатність, приводять до зниження якості роботи і підвищення енергоємності процесу та є причинами поломок.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 дефекти можуть носити 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випадковий характер, але найчас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тіше вони закономірні і залежать в основному від відпрацьованого машиною часу та умов її експлуатації.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DE21B4">
      <w:pPr>
        <w:spacing w:line="0" w:lineRule="atLeast"/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Якщо розглянути роботу двох рухомо з’єднаних деталей, наприклад, циліндричної цапфи в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ідшипнику ковзання, не важко переконатися в тому, що характер тертя не тільки залежить від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lastRenderedPageBreak/>
        <w:t>якості та чистоти тертьових поверхонь, якості та інтенсивності змащення, але</w:t>
      </w:r>
      <w:r w:rsidR="00DE21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значною мірою змінюється під час зміни режиму роботи з’єднання. Так, нерухомий вал під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ією сил ваги видавлює змащення і своєю цапфою опирається безпосередньо на підшипник. Тому на початку обертання поверхня цапфи треться безпосередньо об поверхню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ідшипника, зношуючись по окружності та викликаючи місцеве зношування підшипника.</w:t>
      </w:r>
    </w:p>
    <w:p w:rsidR="00C7440D" w:rsidRPr="00C7440D" w:rsidRDefault="00C7440D" w:rsidP="00C7440D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Інакша справа коли вал дося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гає нормальних обертів. Заповне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ний змащенням зазор (проміжок) між цапфою та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ідшипником є як би клином, що змушує вал піднятися над підшипником. Поверхні виявляються розділеними шаром змащення, і за достатньої кількості і якості змащення тертя може перетворитися в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ідинне.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 збільшенням навантажень і зменшенням в’язкості масла (під час розрідження внаслідок підвищення температури) зазор зменшиться. Таким чином, характер тертя значно змінюється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 час зміни режиму роботи з’єднання, а зношування деталей неминуче за будь-якої конструкції цього з’єднання. Аналогічно працюють й інші рухомі з’єднання деталей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будь-яко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ї машини.</w:t>
      </w:r>
    </w:p>
    <w:p w:rsidR="00C7440D" w:rsidRPr="00C7440D" w:rsidRDefault="00C7440D" w:rsidP="00C7440D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час зношування рухомих деталей зазор між ними збільшується; у з’єднанні виникають динамічні навантаження, погіршуються умови змащення, відкривається доступ до тертьових поверхонь абразивному середовищу (пил, пісок). Все це інтенсифікує зношування та скорочує термін служби деталей.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Отже, за будь-яких конструктивних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ішень і у різних умовах експлуатації зношування деталей рухомих з’єднань пропорційне часу їх роботи, інтенсивність же зношування залежить від низки причин. Це якість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іалів деталей, що з’єднують, чистота обробки поверхонь, якість і своєчасність змащення, ступінь навантаженості з’єднання і, нарешті, умови, у яких доводиться працювати з’єднанню.</w:t>
      </w:r>
    </w:p>
    <w:p w:rsidR="00C7440D" w:rsidRPr="00C7440D" w:rsidRDefault="00C7440D" w:rsidP="00C7440D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Частина зазначених причин є конструктивними, що залежать від заводу-виробника машини. Інші визначаються умовами експлуатації і,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першу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чергу, кваліфікацією моториста, що управляє машиною.</w:t>
      </w:r>
    </w:p>
    <w:p w:rsidR="00C7440D" w:rsidRPr="00C7440D" w:rsidRDefault="00C7440D" w:rsidP="00C7440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648" w:rsidRPr="00DE21B4" w:rsidRDefault="00DE21B4" w:rsidP="000774F7">
      <w:pPr>
        <w:spacing w:line="365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page234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661B26" wp14:editId="6F2C418A">
            <wp:simplePos x="0" y="0"/>
            <wp:positionH relativeFrom="column">
              <wp:posOffset>5715</wp:posOffset>
            </wp:positionH>
            <wp:positionV relativeFrom="paragraph">
              <wp:posOffset>111125</wp:posOffset>
            </wp:positionV>
            <wp:extent cx="6332220" cy="4315460"/>
            <wp:effectExtent l="0" t="0" r="0" b="8890"/>
            <wp:wrapThrough wrapText="bothSides">
              <wp:wrapPolygon edited="0">
                <wp:start x="0" y="0"/>
                <wp:lineTo x="0" y="21549"/>
                <wp:lineTo x="21509" y="21549"/>
                <wp:lineTo x="21509" y="0"/>
                <wp:lineTo x="0" y="0"/>
              </wp:wrapPolygon>
            </wp:wrapThrough>
            <wp:docPr id="1" name="Рисунок 1" descr="C:\Users\ПК\Desktop\45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454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40D" w:rsidRPr="00C744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2.13.1. Графік зношування деталей рухомого з’єднання:</w:t>
      </w:r>
    </w:p>
    <w:p w:rsidR="00C7440D" w:rsidRPr="00C7440D" w:rsidRDefault="00C27648" w:rsidP="00C7440D">
      <w:pPr>
        <w:spacing w:line="227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C27648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proofErr w:type="gramStart"/>
      <w:r w:rsidR="00C7440D" w:rsidRPr="00C2764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</w:t>
      </w:r>
      <w:r w:rsidR="00C7440D" w:rsidRPr="00C7440D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uk-UA"/>
        </w:rPr>
        <w:t>пр</w:t>
      </w:r>
      <w:proofErr w:type="gramEnd"/>
      <w:r w:rsidR="00C7440D" w:rsidRPr="00C744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– час припрацювання деталі;</w:t>
      </w:r>
      <w:r w:rsidRPr="00C27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7440D" w:rsidRPr="00C2764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</w:t>
      </w:r>
      <w:r w:rsidR="00C7440D" w:rsidRPr="00C7440D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uk-UA"/>
        </w:rPr>
        <w:t>н.и</w:t>
      </w:r>
      <w:r w:rsidR="00C7440D" w:rsidRPr="00C744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– час роботи деталі в умовах нормального (природного) зношування</w:t>
      </w:r>
    </w:p>
    <w:p w:rsidR="00C7440D" w:rsidRPr="00C7440D" w:rsidRDefault="00C7440D" w:rsidP="0079629B">
      <w:pPr>
        <w:tabs>
          <w:tab w:val="left" w:pos="777"/>
        </w:tabs>
        <w:spacing w:line="24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У </w:t>
      </w:r>
      <w:r w:rsidRPr="00C7440D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загальному вигляді залежність зношування деталей рухомого з’єднання від часу його роботи можна представити кривою, що зображе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на на графіку (рис. 2.13.1). Як видно з рисунка,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крива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зношування має три характерних ділянки.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Перша ділянка від початку координат до точки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ділянка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припрацювання деталей у знову зібраному з’єднанні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Інтенсивність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зношування на цій ділянці визначається наявністю на поверхнях деталей слідів механічної обробки, що згладжуються в результаті стирання поверхонь.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Приробіток найскладніших і найвідповідаль-ніших з’єднань, зазвичай, виконується до передачі машин в експлуатацію заводом-виробником на спеціальних обкатних стендах і триває в перший період роботи машини, у так званий період її обкатування, коли машина експлуатується за полегшеного режиму навантаження та особливо ретельного контролю її стану і обслуговування.</w:t>
      </w:r>
      <w:proofErr w:type="gramEnd"/>
    </w:p>
    <w:p w:rsidR="00C7440D" w:rsidRPr="00C7440D" w:rsidRDefault="00C7440D" w:rsidP="00C7440D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Друга ділянка кривої від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точки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характеризується майже прямою пропорційністю зношування до часу роботи з’єднання. Це ділянка так званого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нормального або природного зношування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40D" w:rsidRPr="00C7440D" w:rsidRDefault="00C7440D" w:rsidP="00C7440D">
      <w:pPr>
        <w:spacing w:line="249" w:lineRule="auto"/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235"/>
      <w:bookmarkEnd w:id="3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Нарешті, третьою ділянкою кривої є ділянка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ісля точки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, що називається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аварійним зношуванням.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 xml:space="preserve">Робота з’єднання </w:t>
      </w:r>
      <w:proofErr w:type="gramStart"/>
      <w:r w:rsidR="00DE21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DE21B4">
        <w:rPr>
          <w:rFonts w:ascii="Times New Roman" w:eastAsia="Times New Roman" w:hAnsi="Times New Roman" w:cs="Times New Roman"/>
          <w:sz w:val="24"/>
          <w:szCs w:val="24"/>
        </w:rPr>
        <w:t>ісля досягнен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ня зношування, що відповідає точці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, призводить до порушення характеру з’єднання, а потім до поломки тієї або іншої деталі.</w:t>
      </w:r>
    </w:p>
    <w:p w:rsidR="00C7440D" w:rsidRPr="00C7440D" w:rsidRDefault="00C7440D" w:rsidP="00C7440D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21" w:lineRule="auto"/>
        <w:ind w:firstLine="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Через це робота з’єднання допустима тільки протягом часу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н</w:t>
      </w:r>
      <w:proofErr w:type="gramStart"/>
      <w:r w:rsidRPr="00C744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.и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, після закінчення якого необхідний ремонт або регулювання сполучення для відновлення нормального зазору в ньому.</w:t>
      </w:r>
    </w:p>
    <w:p w:rsidR="00C7440D" w:rsidRPr="00C7440D" w:rsidRDefault="00C7440D" w:rsidP="00C7440D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Кожна машина складається з великої кількості рухомо з’єднаних деталей, довговічність яких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ізна.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 цього до моменту повного зношування однієї пари деталей з’єднання інші зношуються частково і їхнє регулювання або заміна ще не потрібна.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Тому відновлення тих або інших з’єднань у результаті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поточного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ремонту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не відновлює первісні якості всієї машини,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тому через якийсь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проміжок часу вона вимагає ремонтних робіт, пов’язаних з відновленням інших з’єднань.</w:t>
      </w:r>
      <w:proofErr w:type="gramEnd"/>
    </w:p>
    <w:p w:rsidR="00C7440D" w:rsidRPr="00C7440D" w:rsidRDefault="00C7440D" w:rsidP="00C7440D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Проведення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ічних обслуговувань і поточних ремонтів не виключає того, що з часом продуктивність машини поступово знижується внаслідок зношування довговічних деталей, а обсяг ремонтних робіт, необхідних для відновлення первісних якостей машини, усе збільшується. Коли зношування стає значним, а надійність і продуктивність машини недостатніми, вона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ідлягає загальному ремонту, що називається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капітальним,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або, якщо вона до цього часу зношується і морально, її заміняють новою.</w:t>
      </w:r>
    </w:p>
    <w:p w:rsidR="00C7440D" w:rsidRPr="00C7440D" w:rsidRDefault="00C7440D" w:rsidP="00C7440D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Термін служби машини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капітального ремонту (або між двома черговими капітальними ремонтами) називають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міжремонтним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циклом.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Міжремонтний цикл залежно від складності машини може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мати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ізну структуру (різна кількість і чергування ремонтів та технічних обслуговувань).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Капітальний ремонт вимагає повного розбирання машини на деталі, ретельної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перев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ірки всіх деталей і ремонту (або заміни новими) більшості з них. Звичайно, це пов’язано із значними затратами праці та засобів і можливе тільки на спеціалізованих ремонтних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ідприємствах.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8" w:lineRule="auto"/>
        <w:ind w:firstLine="61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Комплекс заходів з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ічного догляду та ремонту машин об’єднаний у так звану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систему планово-попереджувального ремонту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будівельних машин (ППР).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Система ППР передбачає проведення щозмінних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ічних обслуговувань (ЩО), періодичних технічних обслуговувань (ТО), сезонних обслуговувань (СО), поточних (П) і капітальних (К) ремонтів.</w:t>
      </w:r>
    </w:p>
    <w:p w:rsidR="00C7440D" w:rsidRPr="00C7440D" w:rsidRDefault="00C7440D" w:rsidP="00C7440D">
      <w:pPr>
        <w:tabs>
          <w:tab w:val="left" w:pos="874"/>
        </w:tabs>
        <w:spacing w:line="25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236"/>
      <w:bookmarkEnd w:id="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щозмінне технічне обс</w:t>
      </w:r>
      <w:r w:rsidR="00E76B13">
        <w:rPr>
          <w:rFonts w:ascii="Times New Roman" w:eastAsia="Times New Roman" w:hAnsi="Times New Roman" w:cs="Times New Roman"/>
          <w:sz w:val="24"/>
          <w:szCs w:val="24"/>
        </w:rPr>
        <w:t>луговування (ЩО) входять заправ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лення, змащення та контрольний огляд машини, що виконується до початку, під час і після зміни, щоб перевірити справність її агрегатів.</w:t>
      </w:r>
    </w:p>
    <w:p w:rsidR="00C7440D" w:rsidRPr="00C7440D" w:rsidRDefault="00C7440D" w:rsidP="00C7440D">
      <w:pPr>
        <w:spacing w:line="239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ічне обслуговування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це комплекс технічних заходів,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спрямованих на створення найсприятливіших умов роботи деталей і з’єднань, своєчасне попередження</w:t>
      </w:r>
      <w:r w:rsidR="00E76B13">
        <w:rPr>
          <w:rFonts w:ascii="Times New Roman" w:eastAsia="Times New Roman" w:hAnsi="Times New Roman" w:cs="Times New Roman"/>
          <w:sz w:val="24"/>
          <w:szCs w:val="24"/>
        </w:rPr>
        <w:t xml:space="preserve"> несправностей і виявлення вини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каючих дефектів. Технічне обслуговування включає очищення, мийку, змащення, огляд і контроль технічного стану вузлів і машини в цілому, кріплення деталей і частин, регулювання вузлів та агрегатів, заправлення машини і випробування її роботи.</w:t>
      </w:r>
    </w:p>
    <w:p w:rsidR="00C7440D" w:rsidRPr="00C7440D" w:rsidRDefault="00C7440D" w:rsidP="00C7440D">
      <w:pPr>
        <w:spacing w:line="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Сезонне обслуговування (СО) виконується два рази в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ік під час підготовки машини до роботи в літній або зимовий сезон.</w:t>
      </w: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системи планово-попереджувального ремонту, машини зупиняються для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ічного обслуговування і ремонту за заздалегідь розробленим планом після відпрацьовув</w:t>
      </w:r>
      <w:r w:rsidR="00E76B13">
        <w:rPr>
          <w:rFonts w:ascii="Times New Roman" w:eastAsia="Times New Roman" w:hAnsi="Times New Roman" w:cs="Times New Roman"/>
          <w:sz w:val="24"/>
          <w:szCs w:val="24"/>
        </w:rPr>
        <w:t>ання встановле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ного числа машино-годин. При цьому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ічне обслуговування виконується в примусовому порядку, а ремонт – за потреби.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Найпрогресивнішим методом ремонту машин, що скорочує термін перебування машин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ремонт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і, є метод агрегатно-вузлового ремонту, за якого вузли і агрегати знімаються з машини і заміняються відремонтованими або новими.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8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Застосування агрегатно-вузлового ремонту можливо тільки тоді, коли ремонтні організації мають оборотний фонд вузлі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агрегатів і можуть їх ремонтувати.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79629B" w:rsidRDefault="00C7440D" w:rsidP="0079629B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ічне обслуговування та поточний ремонт виконуються як на базах механізації, так і безпосередньо на об’єктах будівництва. Для цього бази механізації повинні мати пересувні </w:t>
      </w:r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>заправні й ремонтні засоби на автомобілях або причеп</w:t>
      </w:r>
      <w:r w:rsidR="00DE21B4">
        <w:rPr>
          <w:rFonts w:ascii="Times New Roman" w:eastAsia="Times New Roman" w:hAnsi="Times New Roman" w:cs="Times New Roman"/>
          <w:sz w:val="24"/>
          <w:szCs w:val="24"/>
          <w:lang w:val="uk-UA"/>
        </w:rPr>
        <w:t>ах, оснащені необхідним устатку</w:t>
      </w:r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ванням, пристосуваннями та інструментами, а також спеціалізовані бригади для виконання робіт з </w:t>
      </w:r>
      <w:proofErr w:type="gramStart"/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>техн</w:t>
      </w:r>
      <w:proofErr w:type="gramEnd"/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>ічного обслуговування та ремонту.</w:t>
      </w:r>
    </w:p>
    <w:p w:rsidR="00C7440D" w:rsidRPr="0079629B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Складні та значні за обсягом роботи варто виконувати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спеціалізованих ремонтних майстернях.</w:t>
      </w:r>
    </w:p>
    <w:p w:rsidR="00C7440D" w:rsidRPr="00C7440D" w:rsidRDefault="00C7440D" w:rsidP="00C7440D">
      <w:pPr>
        <w:spacing w:line="239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 час планування технічного обслуговування і ремонтів складається річний план, на підставі якого потім складаються щомісячні плани-графіки, що враховують роботу кожної машини в плані встановленого числа годин.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ічний і місячний плани складаються на підставі структур міжремонтних циклів, відповідно до Рекомендацій з організації технічного обслуговування й ремонту будівельних машин. При цьому враховується фактичний виробіток машин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годинах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на початок планованого року з початку експлуатації</w:t>
      </w:r>
      <w:bookmarkStart w:id="5" w:name="page237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або з часу проведення відповідного ТО і планований виробіток у планованому році.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Для організації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ічної експлуатації за системою планово-попереджувального ремонту необхідний правильний облік фактичної роботи машин.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час проведення ремонтних робіт несправності для відновлення характеру з’єднань рухомих деталей усувають двома способами: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numPr>
          <w:ilvl w:val="0"/>
          <w:numId w:val="1"/>
        </w:numPr>
        <w:tabs>
          <w:tab w:val="left" w:pos="816"/>
        </w:tabs>
        <w:spacing w:line="238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Відновленням зношених деталей у результаті нарощування металу в місцях зношування, тобто в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ідновленням первісних (номіналь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них) розмі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ів деталей.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79629B" w:rsidRDefault="00C7440D" w:rsidP="00C7440D">
      <w:pPr>
        <w:numPr>
          <w:ilvl w:val="0"/>
          <w:numId w:val="1"/>
        </w:numPr>
        <w:tabs>
          <w:tab w:val="left" w:pos="782"/>
        </w:tabs>
        <w:spacing w:line="239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Відновленням форми однієї з циліндричних деталей методом повторної механічної обробки і заміною з’єднувальних деталей деталлю з зміненими розмірами, так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званою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ремонтною.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Для цієї мети дорожчі деталі машин випускають заводи зі збільшеними розмірами, що дозволяють </w:t>
      </w:r>
      <w:proofErr w:type="gramStart"/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gramEnd"/>
      <w:r w:rsidRPr="007962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іддавати їх низці повторних обробок на чергові ремонтні розміри, а деталі, що з’єднують із ними, випускаються у вигляді запасних частин, що відповідають цьому ж ремонтному розміру. </w:t>
      </w:r>
      <w:r w:rsidRPr="0079629B">
        <w:rPr>
          <w:rFonts w:ascii="Times New Roman" w:eastAsia="Times New Roman" w:hAnsi="Times New Roman" w:cs="Times New Roman"/>
          <w:sz w:val="24"/>
          <w:szCs w:val="24"/>
        </w:rPr>
        <w:t xml:space="preserve">Так, наприклад, </w:t>
      </w:r>
      <w:proofErr w:type="gramStart"/>
      <w:r w:rsidRPr="0079629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9629B">
        <w:rPr>
          <w:rFonts w:ascii="Times New Roman" w:eastAsia="Times New Roman" w:hAnsi="Times New Roman" w:cs="Times New Roman"/>
          <w:sz w:val="24"/>
          <w:szCs w:val="24"/>
        </w:rPr>
        <w:t>ісля зношування колінчатого вала його перешліфовують на відповідний ремонтний розмір і комплектують вкладнями підшипників. У розточений під ремонтний розмір циліндр двигуна вставляється поршень відповідно збільшеного розміру.</w:t>
      </w:r>
    </w:p>
    <w:p w:rsidR="00C7440D" w:rsidRPr="00C7440D" w:rsidRDefault="00C7440D" w:rsidP="00C7440D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Зношені деталі відновлюються нарощуванням завдяки осталюванню, хромуванню, електроіскровому нарощуванню або навіть електронаваркою з наступною обробкою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номінальний розмір. Існують й інші способи відновлення деталей.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Своєчасне і правильне обслуговування машин передбачене системою планово-попереджувальних ремонті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, за вмілого керування машиною гарантується її справність, надійність і безаварійність у роботі.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ім того, як засвідчила практика експлуатації машин, за кваліфікованого й своєчасного викон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ання заходів технічного обслуго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вування і грамотного використан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ня машини можливо значне продов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ження як міжремонтного циклу, так і окремих міжремонтних періодів. Цим пояснюється те, що системою ППР передбачається проведення капітальних ремонтів за потреби, тобто тоді, коли фактичний стан машини дійсно вимагає запланованого ремонту.</w:t>
      </w:r>
    </w:p>
    <w:p w:rsidR="00C7440D" w:rsidRPr="00C7440D" w:rsidRDefault="00C7440D" w:rsidP="00C7440D">
      <w:pPr>
        <w:spacing w:line="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Для з’ясування потреби в ремонті кваліфікована комісія в намічений планом термін повинна перевірити фактичний стан машини, її окремих вузлів і деталей і зафіксувати актом можливість</w:t>
      </w:r>
      <w:bookmarkStart w:id="6" w:name="page238"/>
      <w:bookmarkEnd w:id="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відкласти його на певний час або необхідність проведення відповідно до плану-графіка.</w:t>
      </w:r>
      <w:proofErr w:type="gramEnd"/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 час експлуатації машин особливу увагу варто приділяти питанням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техніки безпеки і охорони праці.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діючого законодавства, </w:t>
      </w:r>
      <w:bookmarkStart w:id="7" w:name="_GoBack"/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час надходження на роботу</w:t>
      </w:r>
      <w:bookmarkEnd w:id="7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механізатори зобов’язані прослухати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вступний інструктаж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та інструктаж на робочому місці. Лише після засвоєння механізатором основних правил техніки безпеки та перевірки ним справності машини йому дозволяється приступити до роботи.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51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Первинний інструктаж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на робочому місці проводиться тільки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ісля вступного інструктажу. Він повинен включати ознайомлення з конструкцією машини, правилами її заправлення,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ідготовку до роботи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numPr>
          <w:ilvl w:val="0"/>
          <w:numId w:val="1"/>
        </w:numPr>
        <w:tabs>
          <w:tab w:val="left" w:pos="132"/>
        </w:tabs>
        <w:spacing w:line="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запуску, з методами безпечної роботи та обслуговування, способами усунення неполадок, заміни робочих органів, навантаження і розвантаження машин, із приладами та пристроями, що гарантують безпеку. Цей інструктаж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повинен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бути докладним і супроводжуватися показом безпечних прийомів роботи.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239" w:lineRule="auto"/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ідше одного разу в три місяці всі без винятку механізатори повинні проходити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повторний інструктаж,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а під час переводу з однієї машини на іншу й зі зміною умов експлуатації необхідно проводити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позачерговий інструктаж.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Позачерговий інструктаж необхідний і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час грубих порушень правил техніки безпеки. Інструктажі фіксуються в спеціальному журналі з вказівк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ою причин позачергового інструк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тажу.</w:t>
      </w:r>
    </w:p>
    <w:p w:rsidR="00C7440D" w:rsidRPr="00C7440D" w:rsidRDefault="00C7440D" w:rsidP="00C7440D">
      <w:pPr>
        <w:spacing w:line="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Видаючи робітникові вбрання або завдання, варто наголосити на небезпеці, яка може призвести до нещасного випадку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 час виконання певного завдання.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DE21B4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Інструктажі проводять відповідно до інструкцій, затверджених відповідними інстанціями.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ім них, деякі механізатори (водії землерийно-транспортних машин, крановики та екскаваторники)</w:t>
      </w:r>
      <w:r w:rsidR="00DE21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проходять </w:t>
      </w:r>
      <w:r w:rsidRPr="00C7440D">
        <w:rPr>
          <w:rFonts w:ascii="Times New Roman" w:eastAsia="Times New Roman" w:hAnsi="Times New Roman" w:cs="Times New Roman"/>
          <w:i/>
          <w:sz w:val="24"/>
          <w:szCs w:val="24"/>
        </w:rPr>
        <w:t>курсове навчання з безпечних способів ведення робіт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за спеціальними програмами, що закінчується складанням іспитів.</w:t>
      </w:r>
    </w:p>
    <w:p w:rsidR="00C7440D" w:rsidRPr="00C7440D" w:rsidRDefault="00C7440D" w:rsidP="00C7440D">
      <w:pPr>
        <w:spacing w:line="237" w:lineRule="auto"/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Ведення всіх будівельних робіт повинно відповідати положенням СНіП.</w:t>
      </w:r>
    </w:p>
    <w:p w:rsidR="00C7440D" w:rsidRPr="00C7440D" w:rsidRDefault="00C7440D" w:rsidP="00C7440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Під час ведення земляних робіт машинами до основних причин нещасних випадків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ідноситься зсув ґрунту, що відбувається в результаті недотримання СНіП. Під час виконання робіт з підйому і переміщення вантажів найнебезпечніші порушення правил стропуван-ня вантажів і установки самохідних стрілових кранів.</w:t>
      </w:r>
    </w:p>
    <w:p w:rsidR="00C7440D" w:rsidRPr="00C7440D" w:rsidRDefault="00C7440D" w:rsidP="00C7440D">
      <w:pPr>
        <w:spacing w:line="24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239"/>
      <w:bookmarkEnd w:id="8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Надзвичайно небезпечним є запуск двигуна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перевірки положення важелі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 коробки перед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>ач. Проведення будь-яких ремонт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них і регулювальних робіт за працюючого двигуна категорично заборонено правилами охорони праці.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C7440D" w:rsidRDefault="00C7440D" w:rsidP="00C7440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 xml:space="preserve">ід час зупинки машини і відсутності машиніста двигун і всі механізми повинні бути вимкнені, машина загальмована, а робочий орган опущений на ґрунт. </w:t>
      </w:r>
      <w:proofErr w:type="gramStart"/>
      <w:r w:rsidRPr="00C7440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7440D">
        <w:rPr>
          <w:rFonts w:ascii="Times New Roman" w:eastAsia="Times New Roman" w:hAnsi="Times New Roman" w:cs="Times New Roman"/>
          <w:sz w:val="24"/>
          <w:szCs w:val="24"/>
        </w:rPr>
        <w:t>ім того, варто вжити заходів, що виключають мимовільний рух машини під ухил.</w:t>
      </w:r>
    </w:p>
    <w:p w:rsidR="00C7440D" w:rsidRPr="00C7440D" w:rsidRDefault="00C7440D" w:rsidP="00C7440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40D" w:rsidRPr="009577C0" w:rsidRDefault="00C7440D" w:rsidP="009577C0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0D">
        <w:rPr>
          <w:rFonts w:ascii="Times New Roman" w:eastAsia="Times New Roman" w:hAnsi="Times New Roman" w:cs="Times New Roman"/>
          <w:sz w:val="24"/>
          <w:szCs w:val="24"/>
        </w:rPr>
        <w:t>Важливе значення має пр</w:t>
      </w:r>
      <w:r w:rsidR="00DE2105">
        <w:rPr>
          <w:rFonts w:ascii="Times New Roman" w:eastAsia="Times New Roman" w:hAnsi="Times New Roman" w:cs="Times New Roman"/>
          <w:sz w:val="24"/>
          <w:szCs w:val="24"/>
        </w:rPr>
        <w:t>авильне регулювання системи жив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лення двигунів внутрішнього зго</w:t>
      </w:r>
      <w:r w:rsidR="00DE21B4">
        <w:rPr>
          <w:rFonts w:ascii="Times New Roman" w:eastAsia="Times New Roman" w:hAnsi="Times New Roman" w:cs="Times New Roman"/>
          <w:sz w:val="24"/>
          <w:szCs w:val="24"/>
        </w:rPr>
        <w:t xml:space="preserve">ряння. </w:t>
      </w:r>
      <w:proofErr w:type="gramStart"/>
      <w:r w:rsidR="00DE21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DE21B4">
        <w:rPr>
          <w:rFonts w:ascii="Times New Roman" w:eastAsia="Times New Roman" w:hAnsi="Times New Roman" w:cs="Times New Roman"/>
          <w:sz w:val="24"/>
          <w:szCs w:val="24"/>
        </w:rPr>
        <w:t>ід час порушення регулю</w:t>
      </w:r>
      <w:r w:rsidRPr="00C7440D">
        <w:rPr>
          <w:rFonts w:ascii="Times New Roman" w:eastAsia="Times New Roman" w:hAnsi="Times New Roman" w:cs="Times New Roman"/>
          <w:sz w:val="24"/>
          <w:szCs w:val="24"/>
        </w:rPr>
        <w:t>вання ці двигуни виділяють велику кількість токсичних газів, що забруднюють повітря, що негативно впливає не тільки на праце-здатність, але й на здоров’я машиніста та навколишніх</w:t>
      </w:r>
      <w:r w:rsidR="009577C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7440D" w:rsidRPr="009577C0" w:rsidSect="00906F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C8" w:rsidRDefault="003751C8" w:rsidP="00FF3EA0">
      <w:r>
        <w:separator/>
      </w:r>
    </w:p>
  </w:endnote>
  <w:endnote w:type="continuationSeparator" w:id="0">
    <w:p w:rsidR="003751C8" w:rsidRDefault="003751C8" w:rsidP="00F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C8" w:rsidRDefault="003751C8" w:rsidP="00FF3EA0">
      <w:r>
        <w:separator/>
      </w:r>
    </w:p>
  </w:footnote>
  <w:footnote w:type="continuationSeparator" w:id="0">
    <w:p w:rsidR="003751C8" w:rsidRDefault="003751C8" w:rsidP="00FF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1E64287E"/>
    <w:multiLevelType w:val="hybridMultilevel"/>
    <w:tmpl w:val="E24C0134"/>
    <w:lvl w:ilvl="0" w:tplc="D1E257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238974FB"/>
    <w:multiLevelType w:val="hybridMultilevel"/>
    <w:tmpl w:val="797AD470"/>
    <w:lvl w:ilvl="0" w:tplc="3790F1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C16490"/>
    <w:multiLevelType w:val="hybridMultilevel"/>
    <w:tmpl w:val="94F4B7F0"/>
    <w:lvl w:ilvl="0" w:tplc="894E0C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20428"/>
    <w:multiLevelType w:val="hybridMultilevel"/>
    <w:tmpl w:val="FDFAFF9C"/>
    <w:lvl w:ilvl="0" w:tplc="7FCE6700">
      <w:start w:val="1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0774F7"/>
    <w:rsid w:val="001778F0"/>
    <w:rsid w:val="001B7F25"/>
    <w:rsid w:val="00213550"/>
    <w:rsid w:val="00242A33"/>
    <w:rsid w:val="002706B5"/>
    <w:rsid w:val="00294BFB"/>
    <w:rsid w:val="002B3344"/>
    <w:rsid w:val="002C532A"/>
    <w:rsid w:val="0030616A"/>
    <w:rsid w:val="0031303F"/>
    <w:rsid w:val="00314819"/>
    <w:rsid w:val="00317C07"/>
    <w:rsid w:val="003751C8"/>
    <w:rsid w:val="00471247"/>
    <w:rsid w:val="00493001"/>
    <w:rsid w:val="0049467D"/>
    <w:rsid w:val="00554D5C"/>
    <w:rsid w:val="005A52A9"/>
    <w:rsid w:val="005A6AC8"/>
    <w:rsid w:val="005D0754"/>
    <w:rsid w:val="005E7D3A"/>
    <w:rsid w:val="006972D6"/>
    <w:rsid w:val="006A39E9"/>
    <w:rsid w:val="006B11C4"/>
    <w:rsid w:val="006C568F"/>
    <w:rsid w:val="006D3C17"/>
    <w:rsid w:val="00767065"/>
    <w:rsid w:val="0079629B"/>
    <w:rsid w:val="007C1F8B"/>
    <w:rsid w:val="007F3924"/>
    <w:rsid w:val="0083226A"/>
    <w:rsid w:val="00894777"/>
    <w:rsid w:val="00906FD2"/>
    <w:rsid w:val="009577C0"/>
    <w:rsid w:val="009740BC"/>
    <w:rsid w:val="00982CF8"/>
    <w:rsid w:val="009931E1"/>
    <w:rsid w:val="009E4CEC"/>
    <w:rsid w:val="00A73C8A"/>
    <w:rsid w:val="00A97011"/>
    <w:rsid w:val="00AD7DE1"/>
    <w:rsid w:val="00B041CF"/>
    <w:rsid w:val="00B10C2D"/>
    <w:rsid w:val="00B6591D"/>
    <w:rsid w:val="00B90113"/>
    <w:rsid w:val="00C240E2"/>
    <w:rsid w:val="00C27648"/>
    <w:rsid w:val="00C35C37"/>
    <w:rsid w:val="00C7440D"/>
    <w:rsid w:val="00D07D97"/>
    <w:rsid w:val="00D63B91"/>
    <w:rsid w:val="00DA1E02"/>
    <w:rsid w:val="00DE2105"/>
    <w:rsid w:val="00DE21B4"/>
    <w:rsid w:val="00E001A2"/>
    <w:rsid w:val="00E76B13"/>
    <w:rsid w:val="00E96D6A"/>
    <w:rsid w:val="00F06CC9"/>
    <w:rsid w:val="00F25CAE"/>
    <w:rsid w:val="00F512F9"/>
    <w:rsid w:val="00F64A3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3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3EA0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3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3EA0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2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1B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3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3EA0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3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3EA0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2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1B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2020-04-14T15:02:00Z</dcterms:created>
  <dcterms:modified xsi:type="dcterms:W3CDTF">2020-11-11T17:48:00Z</dcterms:modified>
</cp:coreProperties>
</file>