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07" w:rsidRPr="00840A95" w:rsidRDefault="00080807" w:rsidP="00080807">
      <w:pPr>
        <w:autoSpaceDE w:val="0"/>
        <w:autoSpaceDN w:val="0"/>
        <w:adjustRightInd w:val="0"/>
        <w:ind w:left="708" w:hanging="141"/>
        <w:jc w:val="center"/>
        <w:rPr>
          <w:caps/>
        </w:rPr>
      </w:pPr>
      <w:r>
        <w:rPr>
          <w:b/>
        </w:rPr>
        <w:t>ТЕМА 6.  В</w:t>
      </w:r>
      <w:r w:rsidRPr="00BD65E8">
        <w:rPr>
          <w:b/>
        </w:rPr>
        <w:t>ласність у системі виробничих відносин</w:t>
      </w:r>
    </w:p>
    <w:p w:rsidR="00080807" w:rsidRPr="00E767D5" w:rsidRDefault="00080807" w:rsidP="00080807">
      <w:pPr>
        <w:autoSpaceDE w:val="0"/>
        <w:autoSpaceDN w:val="0"/>
        <w:adjustRightInd w:val="0"/>
        <w:ind w:left="708" w:hanging="141"/>
        <w:jc w:val="center"/>
        <w:rPr>
          <w:i/>
        </w:rPr>
      </w:pPr>
      <w:r>
        <w:rPr>
          <w:i/>
        </w:rPr>
        <w:t>План лекції</w:t>
      </w:r>
    </w:p>
    <w:p w:rsidR="00080807" w:rsidRDefault="00080807" w:rsidP="00080807">
      <w:pPr>
        <w:autoSpaceDE w:val="0"/>
        <w:autoSpaceDN w:val="0"/>
        <w:adjustRightInd w:val="0"/>
        <w:ind w:left="2187"/>
        <w:jc w:val="both"/>
      </w:pPr>
      <w:r>
        <w:t>1. Суть власності, її економічний і юридичний зміст.</w:t>
      </w:r>
    </w:p>
    <w:p w:rsidR="00080807" w:rsidRDefault="00080807" w:rsidP="00080807">
      <w:pPr>
        <w:autoSpaceDE w:val="0"/>
        <w:autoSpaceDN w:val="0"/>
        <w:adjustRightInd w:val="0"/>
        <w:ind w:left="2187"/>
        <w:jc w:val="both"/>
      </w:pPr>
      <w:r>
        <w:t>2. Типи, види та форми власності.</w:t>
      </w:r>
    </w:p>
    <w:p w:rsidR="00080807" w:rsidRDefault="00080807" w:rsidP="00080807">
      <w:pPr>
        <w:autoSpaceDE w:val="0"/>
        <w:autoSpaceDN w:val="0"/>
        <w:adjustRightInd w:val="0"/>
        <w:ind w:left="2187"/>
        <w:jc w:val="both"/>
      </w:pPr>
      <w:r>
        <w:t xml:space="preserve">3. Реформування власності на сучасному етапі розвитку України.  </w:t>
      </w:r>
    </w:p>
    <w:p w:rsidR="00080807" w:rsidRDefault="00080807" w:rsidP="00080807">
      <w:pPr>
        <w:autoSpaceDE w:val="0"/>
        <w:autoSpaceDN w:val="0"/>
        <w:adjustRightInd w:val="0"/>
        <w:ind w:left="708" w:hanging="141"/>
        <w:jc w:val="both"/>
      </w:pPr>
    </w:p>
    <w:p w:rsidR="00080807" w:rsidRPr="000546A9" w:rsidRDefault="00080807" w:rsidP="00080807">
      <w:pPr>
        <w:autoSpaceDE w:val="0"/>
        <w:autoSpaceDN w:val="0"/>
        <w:adjustRightInd w:val="0"/>
        <w:ind w:left="708" w:hanging="141"/>
        <w:jc w:val="both"/>
      </w:pPr>
    </w:p>
    <w:p w:rsidR="00080807" w:rsidRPr="00E767D5" w:rsidRDefault="00080807" w:rsidP="00080807">
      <w:pPr>
        <w:autoSpaceDE w:val="0"/>
        <w:autoSpaceDN w:val="0"/>
        <w:adjustRightInd w:val="0"/>
        <w:ind w:left="708" w:hanging="141"/>
        <w:jc w:val="center"/>
        <w:rPr>
          <w:b/>
        </w:rPr>
      </w:pPr>
      <w:r w:rsidRPr="00E767D5">
        <w:rPr>
          <w:b/>
        </w:rPr>
        <w:t>1. Суть власності, її економічний та юридичний зміст</w:t>
      </w:r>
    </w:p>
    <w:p w:rsidR="00080807" w:rsidRPr="000546A9" w:rsidRDefault="00080807" w:rsidP="00080807">
      <w:pPr>
        <w:autoSpaceDE w:val="0"/>
        <w:autoSpaceDN w:val="0"/>
        <w:adjustRightInd w:val="0"/>
        <w:ind w:left="708" w:hanging="141"/>
        <w:jc w:val="both"/>
        <w:rPr>
          <w:b/>
          <w:i/>
        </w:rPr>
      </w:pP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Відносини власності виникають між людьми з приводу привласнення матеріальних і духовних благ. Привласнення означає відношення людей до певних речей, як до своїх.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 xml:space="preserve">Спочатку відносини власності виступали у формі певних історичних звичаїв. З виникненням держави стали розроблятися юридичні закони, котрі визначали, за якими правовими нормами привласнюється і розподіляється суспільне багатство між різними суб’єктами (окремими громадянами, соціальними групами, класами, державою). Правові відносини власності виражаються в закріпленні за різними суб’єктами прав володіння, користування і розпорядження. 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Згідно із Законом України «Про власність» право власності – це врегульовані законом суспільні відносини щодо володіння, користування та розпорядження майном. Це визначення поєднує два аспекти власності:</w:t>
      </w:r>
    </w:p>
    <w:p w:rsidR="00080807" w:rsidRDefault="00080807" w:rsidP="0008080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юридичний (врегулювання відносин законом);</w:t>
      </w:r>
    </w:p>
    <w:p w:rsidR="00080807" w:rsidRDefault="00080807" w:rsidP="0008080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економічний (відносини з майном).</w:t>
      </w:r>
    </w:p>
    <w:p w:rsidR="00080807" w:rsidRDefault="00080807" w:rsidP="00080807">
      <w:pPr>
        <w:pBdr>
          <w:left w:val="single" w:sz="4" w:space="4" w:color="auto"/>
        </w:pBdr>
        <w:autoSpaceDE w:val="0"/>
        <w:autoSpaceDN w:val="0"/>
        <w:adjustRightInd w:val="0"/>
        <w:ind w:firstLine="540"/>
        <w:jc w:val="both"/>
      </w:pPr>
      <w:r>
        <w:t xml:space="preserve">Отже, </w:t>
      </w:r>
      <w:r w:rsidRPr="00DF6D6A">
        <w:rPr>
          <w:b/>
          <w:i/>
        </w:rPr>
        <w:t>власність</w:t>
      </w:r>
      <w:r>
        <w:t xml:space="preserve"> – це сукупність виробничих відносин між людьми з </w:t>
      </w:r>
      <w:proofErr w:type="spellStart"/>
      <w:r>
        <w:t>привожу</w:t>
      </w:r>
      <w:proofErr w:type="spellEnd"/>
      <w:r>
        <w:t xml:space="preserve"> привласнення ними  об’єктів власності, насамперед засобів виробництва, що породжує право володіння, користування і розпорядження цими об’єктами та результатами їхнього функціонування.</w:t>
      </w:r>
    </w:p>
    <w:p w:rsidR="00080807" w:rsidRPr="000546A9" w:rsidRDefault="00080807" w:rsidP="00080807">
      <w:pPr>
        <w:pBdr>
          <w:left w:val="single" w:sz="4" w:space="4" w:color="auto"/>
        </w:pBdr>
        <w:autoSpaceDE w:val="0"/>
        <w:autoSpaceDN w:val="0"/>
        <w:adjustRightInd w:val="0"/>
        <w:ind w:firstLine="540"/>
        <w:jc w:val="both"/>
      </w:pPr>
      <w:r w:rsidRPr="000546A9">
        <w:rPr>
          <w:b/>
          <w:i/>
        </w:rPr>
        <w:t>Власність</w:t>
      </w:r>
      <w:r w:rsidRPr="000546A9">
        <w:t xml:space="preserve"> – історично певний спосіб привласнення чинників, результатів виробництва і прибавочного продукту.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Виділяють такі аспекти власності:</w:t>
      </w:r>
    </w:p>
    <w:p w:rsidR="00080807" w:rsidRDefault="00080807" w:rsidP="00080807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 xml:space="preserve">Економічна власність </w:t>
      </w:r>
      <w:r>
        <w:t xml:space="preserve">– це система виробничих відносин між людьми з приводу привласнення ними різноманітних речей (об’єктів) в усіх сферах суспільного відтворення. 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 xml:space="preserve">Система відносин власності охоплює цілий спектр причинно-наслідкових </w:t>
      </w:r>
      <w:proofErr w:type="spellStart"/>
      <w:r>
        <w:t>зв’язків</w:t>
      </w:r>
      <w:proofErr w:type="spellEnd"/>
      <w:r>
        <w:t>, які знаходять своє відображення у володінні, розпорядженні, користуванні.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Володіння – </w:t>
      </w:r>
      <w:r>
        <w:t>означає можливості суб’єктів чинити з об’єктами власності на свій розсуд, розпоряджатися речами як завгодно, у своїх інтересах, якщо це не суперечить загальноприйнятим законам.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Розпорядження – </w:t>
      </w:r>
      <w:r>
        <w:t>означає, що суб’єкти мають право практично вільно застосовувати об’єкти власності, проте у межах повноважень, які були надані власником.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Користування – </w:t>
      </w:r>
      <w:r>
        <w:t>означає використання об’єктів власності лише в межах задоволення своїх власних потреб з певною метою з обов’язковою умовою повернення об’єктів власникові.</w:t>
      </w:r>
    </w:p>
    <w:p w:rsidR="00080807" w:rsidRDefault="00080807" w:rsidP="00080807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 xml:space="preserve">Юридична власність – </w:t>
      </w:r>
      <w:r>
        <w:t>це загальна умова виробництва, вияв волі певного класу і правове оформлення цієї волі у юридичних актах, що, як правило, закріплюється угодами.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Юридична власність реєструє такі відносини:</w:t>
      </w:r>
    </w:p>
    <w:p w:rsidR="00080807" w:rsidRDefault="00080807" w:rsidP="00080807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ставлення однієї особи до іншої або до групи людей;</w:t>
      </w:r>
    </w:p>
    <w:p w:rsidR="00080807" w:rsidRPr="001A2101" w:rsidRDefault="00080807" w:rsidP="00080807">
      <w:pPr>
        <w:numPr>
          <w:ilvl w:val="1"/>
          <w:numId w:val="2"/>
        </w:numPr>
        <w:autoSpaceDE w:val="0"/>
        <w:autoSpaceDN w:val="0"/>
        <w:adjustRightInd w:val="0"/>
        <w:jc w:val="both"/>
      </w:pPr>
      <w:r>
        <w:t>ставлення індивіда до речей.</w:t>
      </w:r>
    </w:p>
    <w:p w:rsidR="00080807" w:rsidRDefault="00080807" w:rsidP="00080807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 xml:space="preserve">Соціальний аспект власності </w:t>
      </w:r>
      <w:r>
        <w:t>розкриває процес формування і розвитку класів, соціальних верств і груп та їх взаємодію залежно від ставлення до засобів виробництва, способів отримання певної частки національного багатства.</w:t>
      </w:r>
    </w:p>
    <w:p w:rsidR="00080807" w:rsidRDefault="00080807" w:rsidP="00080807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 xml:space="preserve">Політичний аспект власності </w:t>
      </w:r>
      <w:r>
        <w:t>характеризує вплив на політику держави залежно від наявності певної частки власності, привласнення форм національного багатства.</w:t>
      </w:r>
    </w:p>
    <w:p w:rsidR="00080807" w:rsidRDefault="00080807" w:rsidP="00080807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</w:pPr>
      <w:r>
        <w:t xml:space="preserve"> </w:t>
      </w:r>
      <w:r>
        <w:rPr>
          <w:i/>
        </w:rPr>
        <w:t xml:space="preserve">Національний аспект власності </w:t>
      </w:r>
      <w:r>
        <w:t>розкриває наявність певної частини власності на території політично незалежної країни в руках громадян цієї або іншої країни. Так, в Україні значна частка стратегічних об’єктів опинилася у власності іноземного капіталу.</w:t>
      </w:r>
    </w:p>
    <w:p w:rsidR="00080807" w:rsidRDefault="00080807" w:rsidP="00080807">
      <w:pPr>
        <w:numPr>
          <w:ilvl w:val="0"/>
          <w:numId w:val="2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lastRenderedPageBreak/>
        <w:t xml:space="preserve">Психологічний аспект власності </w:t>
      </w:r>
      <w:r>
        <w:t xml:space="preserve">відображає наявність почуття господаря в людини-працівника або його відсутність, ставлення до власності як до своєї, нічийної або чужої. 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</w:p>
    <w:p w:rsidR="00080807" w:rsidRPr="00E767D5" w:rsidRDefault="00080807" w:rsidP="0008080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767D5">
        <w:rPr>
          <w:b/>
        </w:rPr>
        <w:t>2. Типи, види та форми власності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Сучасне суспільство використовує два типи власності:</w:t>
      </w:r>
    </w:p>
    <w:p w:rsidR="00080807" w:rsidRDefault="00080807" w:rsidP="00080807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приватна власність;</w:t>
      </w:r>
    </w:p>
    <w:p w:rsidR="00080807" w:rsidRDefault="00080807" w:rsidP="00080807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суспільна власність.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Приватна власність – </w:t>
      </w:r>
      <w:r>
        <w:t>характеризується тим, що засоби виробництва, а отже, і вироблені готові продукти належать приватним особам.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Відповідно до класичного визначення приватної власності, яке було дане французьким вченим Анрі Оноре, цей тип власності реалізується через такі права: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 xml:space="preserve">право володіння, </w:t>
      </w:r>
      <w:r>
        <w:t>тобто право винятково фізичного контролю над благами;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 xml:space="preserve">право користування – </w:t>
      </w:r>
      <w:r>
        <w:t>право вирішувати, хто і як буде використовувати блага;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>право доходу –</w:t>
      </w:r>
      <w:r>
        <w:t xml:space="preserve"> право володіти результатами від використання благ;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>право суверена –</w:t>
      </w:r>
      <w:r>
        <w:t xml:space="preserve"> право на відчуження, споживання, заміну чи знищення благ;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>право на безпеку –</w:t>
      </w:r>
      <w:r>
        <w:t xml:space="preserve"> право на захист від експропріації благ і від псування з боку  навколишнього середовища;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>право на передачу благ у спадщину;</w:t>
      </w:r>
    </w:p>
    <w:p w:rsidR="00080807" w:rsidRPr="00A71D91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  <w:rPr>
          <w:i/>
        </w:rPr>
      </w:pPr>
      <w:r w:rsidRPr="00A71D91">
        <w:rPr>
          <w:i/>
        </w:rPr>
        <w:t>право на безстрокове володіння благами;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 w:rsidRPr="00A71D91">
        <w:rPr>
          <w:i/>
        </w:rPr>
        <w:t>заборона на використання благ</w:t>
      </w:r>
      <w:r>
        <w:t>, які заподіють шкоду навколишньому середовищу і суспільству;</w:t>
      </w:r>
    </w:p>
    <w:p w:rsidR="00080807" w:rsidRDefault="00080807" w:rsidP="00080807">
      <w:pPr>
        <w:numPr>
          <w:ilvl w:val="0"/>
          <w:numId w:val="4"/>
        </w:numPr>
        <w:tabs>
          <w:tab w:val="clear" w:pos="1181"/>
          <w:tab w:val="num" w:pos="540"/>
        </w:tabs>
        <w:autoSpaceDE w:val="0"/>
        <w:autoSpaceDN w:val="0"/>
        <w:adjustRightInd w:val="0"/>
        <w:ind w:left="540"/>
        <w:jc w:val="both"/>
      </w:pPr>
      <w:r>
        <w:rPr>
          <w:i/>
        </w:rPr>
        <w:t xml:space="preserve">право на залишковий характер, </w:t>
      </w:r>
      <w:r>
        <w:t xml:space="preserve">тобто право на існування процедур та інститутів, щ забезпечують поновлення порушених </w:t>
      </w:r>
      <w:proofErr w:type="spellStart"/>
      <w:r>
        <w:t>правомочностей</w:t>
      </w:r>
      <w:proofErr w:type="spellEnd"/>
      <w:r>
        <w:t xml:space="preserve"> та потрібних </w:t>
      </w:r>
      <w:proofErr w:type="spellStart"/>
      <w:r>
        <w:t>балг</w:t>
      </w:r>
      <w:proofErr w:type="spellEnd"/>
      <w:r>
        <w:t>.</w:t>
      </w:r>
    </w:p>
    <w:p w:rsidR="00080807" w:rsidRPr="003D43E1" w:rsidRDefault="00080807" w:rsidP="00080807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3D43E1">
        <w:rPr>
          <w:u w:val="single"/>
        </w:rPr>
        <w:t>Приватна власність може бути:</w:t>
      </w:r>
    </w:p>
    <w:p w:rsidR="00080807" w:rsidRDefault="00080807" w:rsidP="00080807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індивідуальною або сімейною;</w:t>
      </w:r>
    </w:p>
    <w:p w:rsidR="00080807" w:rsidRDefault="00080807" w:rsidP="00080807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пайовою: це колективна приватна власність, де кожному співвласникові належить певна частка об’єкта власності у формі паю. Пайовики домовляються між собою про управління об’єктом;</w:t>
      </w:r>
    </w:p>
    <w:p w:rsidR="00080807" w:rsidRDefault="00080807" w:rsidP="00080807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акціонерною: акціонер володіє акціями, які засвідчують його пай і дають право на одержання доходу в формі дивіденду;</w:t>
      </w:r>
    </w:p>
    <w:p w:rsidR="00080807" w:rsidRDefault="00080807" w:rsidP="00080807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власністю громадських організацій (політичних партій, профспілок, релігійних, спортивних, молодіжних та інших);</w:t>
      </w:r>
    </w:p>
    <w:p w:rsidR="00080807" w:rsidRDefault="00080807" w:rsidP="00080807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кооперативною власністю: це колективна власність кооперативів, що виникають унаслідок добровільного об’єднання членами кооперативу всіх або частини належних їм засобів виробництва, а також грошових внесків.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 xml:space="preserve">Деякі економісти розрізняють </w:t>
      </w:r>
      <w:r w:rsidRPr="003D43E1">
        <w:rPr>
          <w:b/>
          <w:i/>
        </w:rPr>
        <w:t>трудову й нетрудову</w:t>
      </w:r>
      <w:r>
        <w:t xml:space="preserve"> приватну власність, а відповідно трудові і нетрудові доходи. Нетрудовими вважають доходи, що одержуються від власності. Вони, на їхню думку, не відповідають принципам соціальної справедливості. В умовах командно-адміністративної системи такі доходи отримувати не дозволялось.</w:t>
      </w:r>
    </w:p>
    <w:p w:rsidR="00080807" w:rsidRPr="003D43E1" w:rsidRDefault="00080807" w:rsidP="00080807">
      <w:pPr>
        <w:autoSpaceDE w:val="0"/>
        <w:autoSpaceDN w:val="0"/>
        <w:adjustRightInd w:val="0"/>
        <w:ind w:firstLine="540"/>
        <w:jc w:val="both"/>
      </w:pPr>
      <w:r>
        <w:t xml:space="preserve">Можна погодитися, що в умовах рабовласництва і феодалізму доходи рабовласників і феодалів мали нетрудовий характер і були соціально несправедливими. Але в цивілізованому суспільстві, такі доходи не завжди мають соціально несправедливий характер. Річ у </w:t>
      </w:r>
      <w:proofErr w:type="spellStart"/>
      <w:r>
        <w:t>тому,Ю</w:t>
      </w:r>
      <w:proofErr w:type="spellEnd"/>
      <w:r>
        <w:t xml:space="preserve"> що ті, кого вважають одержувачем нетрудових доходів, вкладають у виробництво свій капітал. Його застосування підвищує продуктивну силу працівників, забезпечує підвищення продуктивності праці і збільшення виробництва продукції .як зазначає </w:t>
      </w:r>
      <w:proofErr w:type="spellStart"/>
      <w:r>
        <w:t>П.Самуельсон</w:t>
      </w:r>
      <w:proofErr w:type="spellEnd"/>
      <w:r>
        <w:t xml:space="preserve">, капітал має «власну продуктивність». Тому той дохід, що походить від капіталу, </w:t>
      </w:r>
      <w:proofErr w:type="spellStart"/>
      <w:r>
        <w:t>логічно</w:t>
      </w:r>
      <w:proofErr w:type="spellEnd"/>
      <w:r>
        <w:t xml:space="preserve"> має привласнюватися власником капіталу. Якщо, наприклад, за рахунок коштів акціонерів здійснено технічну реконструкцію підприємства і завдяки цьому зросли доходи, то ці доходи мають виплачуватись у формі дивідендів власникам акцій. 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Суспільна власність </w:t>
      </w:r>
      <w:r w:rsidRPr="003D43E1">
        <w:t>характеризується тим, що всі об’єкти власності</w:t>
      </w:r>
      <w:r>
        <w:rPr>
          <w:b/>
          <w:i/>
        </w:rPr>
        <w:t xml:space="preserve"> </w:t>
      </w:r>
      <w:r>
        <w:t xml:space="preserve">є належністю всіх суб’єктів разом, тобто належністю кожного її суб’єкта.   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Суспільна власність у нашій країні існує в двох формах:</w:t>
      </w:r>
    </w:p>
    <w:p w:rsidR="00080807" w:rsidRDefault="00080807" w:rsidP="00080807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державній;</w:t>
      </w:r>
    </w:p>
    <w:p w:rsidR="00080807" w:rsidRDefault="00080807" w:rsidP="00080807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колективній.</w:t>
      </w:r>
    </w:p>
    <w:p w:rsidR="00080807" w:rsidRPr="00A71D91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6286500" cy="3771900"/>
                <wp:effectExtent l="0" t="4445" r="3810" b="0"/>
                <wp:docPr id="34" name="Полотно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4162" y="114379"/>
                            <a:ext cx="3086497" cy="228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C358D8" w:rsidRDefault="00080807" w:rsidP="00080807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358D8">
                                <w:rPr>
                                  <w:b/>
                                  <w:sz w:val="22"/>
                                  <w:szCs w:val="22"/>
                                </w:rPr>
                                <w:t>Суспільна власність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43138" y="799783"/>
                            <a:ext cx="1486059" cy="3431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jc w:val="center"/>
                              </w:pPr>
                              <w:r>
                                <w:t>Державна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00221" y="799783"/>
                            <a:ext cx="2171462" cy="344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jc w:val="center"/>
                              </w:pPr>
                              <w:r>
                                <w:t>Колективна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3138" y="1486059"/>
                            <a:ext cx="342265" cy="2057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jc w:val="center"/>
                              </w:pPr>
                              <w:r>
                                <w:t>Загальнодержавна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2921" y="1486059"/>
                            <a:ext cx="342265" cy="2057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jc w:val="center"/>
                              </w:pPr>
                              <w:r>
                                <w:t>Загальнодержавна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86279" y="1486059"/>
                            <a:ext cx="571024" cy="205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jc w:val="center"/>
                              </w:pPr>
                              <w:r>
                                <w:t>Власність громадських і релігійних організацій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00003" y="1486059"/>
                            <a:ext cx="342265" cy="205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jc w:val="center"/>
                              </w:pPr>
                              <w:r>
                                <w:t>Кооперативна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00221" y="1486059"/>
                            <a:ext cx="571897" cy="20562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jc w:val="center"/>
                              </w:pPr>
                              <w:r>
                                <w:t>Власність колективу підприємства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438" y="343138"/>
                            <a:ext cx="228759" cy="456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743359" y="343138"/>
                            <a:ext cx="343138" cy="4566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897" y="1142921"/>
                            <a:ext cx="456644" cy="343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8541" y="1142921"/>
                            <a:ext cx="228759" cy="343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314383" y="1142921"/>
                            <a:ext cx="0" cy="343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43359" y="1142921"/>
                            <a:ext cx="571024" cy="343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314383" y="1142921"/>
                            <a:ext cx="800656" cy="343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4" o:spid="_x0000_s1026" editas="canvas" style="width:495pt;height:297pt;mso-position-horizontal-relative:char;mso-position-vertical-relative:line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  <v:rect id="Rectangle 4" o:spid="_x0000_s1028" style="position:absolute;left:9141;top:1143;width:30865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080807" w:rsidRPr="00C358D8" w:rsidRDefault="00080807" w:rsidP="00080807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C358D8">
                          <w:rPr>
                            <w:b/>
                            <w:sz w:val="22"/>
                            <w:szCs w:val="22"/>
                          </w:rPr>
                          <w:t>Суспільна власність</w:t>
                        </w:r>
                      </w:p>
                    </w:txbxContent>
                  </v:textbox>
                </v:rect>
                <v:rect id="Rectangle 5" o:spid="_x0000_s1029" style="position:absolute;left:3431;top:7997;width:14860;height: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080807" w:rsidRDefault="00080807" w:rsidP="00080807">
                        <w:pPr>
                          <w:jc w:val="center"/>
                        </w:pPr>
                        <w:r>
                          <w:t>Державна</w:t>
                        </w:r>
                      </w:p>
                    </w:txbxContent>
                  </v:textbox>
                </v:rect>
                <v:rect id="Rectangle 6" o:spid="_x0000_s1030" style="position:absolute;left:24002;top:7997;width:21714;height:3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080807" w:rsidRDefault="00080807" w:rsidP="00080807">
                        <w:pPr>
                          <w:jc w:val="center"/>
                        </w:pPr>
                        <w:r>
                          <w:t>Колективна</w:t>
                        </w:r>
                      </w:p>
                    </w:txbxContent>
                  </v:textbox>
                </v:rect>
                <v:rect id="Rectangle 7" o:spid="_x0000_s1031" style="position:absolute;left:3431;top:14860;width:3423;height:20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">
                  <v:textbox style="layout-flow:vertical;mso-layout-flow-alt:bottom-to-top">
                    <w:txbxContent>
                      <w:p w:rsidR="00080807" w:rsidRDefault="00080807" w:rsidP="00080807">
                        <w:pPr>
                          <w:jc w:val="center"/>
                        </w:pPr>
                        <w:r>
                          <w:t>Загальнодержавна</w:t>
                        </w:r>
                      </w:p>
                    </w:txbxContent>
                  </v:textbox>
                </v:rect>
                <v:rect id="Rectangle 8" o:spid="_x0000_s1032" style="position:absolute;left:11429;top:14860;width:3422;height:20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">
                  <v:textbox style="layout-flow:vertical;mso-layout-flow-alt:bottom-to-top">
                    <w:txbxContent>
                      <w:p w:rsidR="00080807" w:rsidRDefault="00080807" w:rsidP="00080807">
                        <w:pPr>
                          <w:jc w:val="center"/>
                        </w:pPr>
                        <w:r>
                          <w:t>Загальнодержавна</w:t>
                        </w:r>
                      </w:p>
                    </w:txbxContent>
                  </v:textbox>
                </v:rect>
                <v:rect id="Rectangle 9" o:spid="_x0000_s1033" style="position:absolute;left:38862;top:14860;width:5711;height:20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">
                  <v:textbox style="layout-flow:vertical;mso-layout-flow-alt:bottom-to-top">
                    <w:txbxContent>
                      <w:p w:rsidR="00080807" w:rsidRDefault="00080807" w:rsidP="00080807">
                        <w:pPr>
                          <w:jc w:val="center"/>
                        </w:pPr>
                        <w:r>
                          <w:t>Власність громадських і релігійних організацій</w:t>
                        </w:r>
                      </w:p>
                    </w:txbxContent>
                  </v:textbox>
                </v:rect>
                <v:rect id="Rectangle 10" o:spid="_x0000_s1034" style="position:absolute;left:32000;top:14860;width:3422;height:20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">
                  <v:textbox style="layout-flow:vertical;mso-layout-flow-alt:bottom-to-top">
                    <w:txbxContent>
                      <w:p w:rsidR="00080807" w:rsidRDefault="00080807" w:rsidP="00080807">
                        <w:pPr>
                          <w:jc w:val="center"/>
                        </w:pPr>
                        <w:r>
                          <w:t>Кооперативна</w:t>
                        </w:r>
                      </w:p>
                    </w:txbxContent>
                  </v:textbox>
                </v:rect>
                <v:rect id="Rectangle 11" o:spid="_x0000_s1035" style="position:absolute;left:24002;top:14860;width:5719;height:20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">
                  <v:textbox style="layout-flow:vertical;mso-layout-flow-alt:bottom-to-top">
                    <w:txbxContent>
                      <w:p w:rsidR="00080807" w:rsidRDefault="00080807" w:rsidP="00080807">
                        <w:pPr>
                          <w:jc w:val="center"/>
                        </w:pPr>
                        <w:r>
                          <w:t>Власність колективу підприємства</w:t>
                        </w:r>
                      </w:p>
                    </w:txbxContent>
                  </v:textbox>
                </v:rect>
                <v:line id="Line 12" o:spid="_x0000_s1036" style="position:absolute;flip:x;visibility:visible;mso-wrap-style:square" from="16004,3431" to="18291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13" o:spid="_x0000_s1037" style="position:absolute;visibility:visible;mso-wrap-style:square" from="27433,3431" to="30864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4" o:spid="_x0000_s1038" style="position:absolute;flip:x;visibility:visible;mso-wrap-style:square" from="5718,11429" to="10285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15" o:spid="_x0000_s1039" style="position:absolute;visibility:visible;mso-wrap-style:square" from="10285,11429" to="12573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6" o:spid="_x0000_s1040" style="position:absolute;visibility:visible;mso-wrap-style:square" from="33143,11429" to="33143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7" o:spid="_x0000_s1041" style="position:absolute;flip:x;visibility:visible;mso-wrap-style:square" from="27433,11429" to="33143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8" o:spid="_x0000_s1042" style="position:absolute;visibility:visible;mso-wrap-style:square" from="33143,11429" to="41150,14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w10:anchorlock/>
              </v:group>
            </w:pict>
          </mc:Fallback>
        </mc:AlternateConten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Рис. – Структура суспільної власності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 xml:space="preserve">Володарем державних об’єктів є держава в особі центральних державних органів – Верховної Ради, Кабінету міністрів, міністерств та в особі місцевих органів влади. 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 w:rsidRPr="00C91B31">
        <w:rPr>
          <w:b/>
          <w:i/>
        </w:rPr>
        <w:t>Об’єктами власності є</w:t>
      </w:r>
      <w:r>
        <w:t>: природа, її елементи, матеріальні блага, насамперед засоби виробництва, національне багатство, в цілому продуктивні сили, праця, робоча сила, наукові відкриття, науково-технічна діяльність, інформація.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Суб’єктами власності є </w:t>
      </w:r>
      <w:r>
        <w:t>носії відносин власності.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 xml:space="preserve">Головним носієм відносин власності виступає </w:t>
      </w:r>
      <w:r>
        <w:rPr>
          <w:i/>
          <w:u w:val="single"/>
        </w:rPr>
        <w:t xml:space="preserve">працівник </w:t>
      </w:r>
      <w:r>
        <w:t>, як господар своєї держави, власник свого капіталу, виробничих фондів, цінних паперів, робочої сили, житла, землі, технологій.</w:t>
      </w:r>
    </w:p>
    <w:p w:rsidR="00080807" w:rsidRPr="00C91B31" w:rsidRDefault="00080807" w:rsidP="00080807">
      <w:pPr>
        <w:autoSpaceDE w:val="0"/>
        <w:autoSpaceDN w:val="0"/>
        <w:adjustRightInd w:val="0"/>
        <w:ind w:firstLine="540"/>
        <w:jc w:val="both"/>
      </w:pPr>
    </w:p>
    <w:p w:rsidR="00080807" w:rsidRPr="00E767D5" w:rsidRDefault="00080807" w:rsidP="0008080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767D5">
        <w:rPr>
          <w:b/>
        </w:rPr>
        <w:t>3. Реформування власності на сучасному етапі розвитку України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Змішана економіка </w:t>
      </w:r>
      <w:r w:rsidRPr="00C5270F">
        <w:rPr>
          <w:i/>
        </w:rPr>
        <w:t xml:space="preserve">– </w:t>
      </w:r>
      <w:r w:rsidRPr="00C5270F">
        <w:t>це еконо</w:t>
      </w:r>
      <w:r>
        <w:t>міка рівнозначного функціонування всіх форм власності в умовах ринкової економіки.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Закон України «Про власність» від 1994 року декларує 4 форми власності в Україні (схема):</w:t>
      </w:r>
    </w:p>
    <w:p w:rsidR="00080807" w:rsidRDefault="00080807" w:rsidP="0008080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індивідуальна (особиста і приватна);</w:t>
      </w:r>
    </w:p>
    <w:p w:rsidR="00080807" w:rsidRDefault="00080807" w:rsidP="0008080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колективна;</w:t>
      </w:r>
    </w:p>
    <w:p w:rsidR="00080807" w:rsidRDefault="00080807" w:rsidP="0008080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державна;</w:t>
      </w:r>
    </w:p>
    <w:p w:rsidR="00080807" w:rsidRDefault="00080807" w:rsidP="0008080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власність іноземних держав, спільних підприємств, іноземних громадян.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noProof/>
          <w:lang w:eastAsia="uk-UA"/>
        </w:rPr>
        <w:lastRenderedPageBreak/>
        <mc:AlternateContent>
          <mc:Choice Requires="wpc">
            <w:drawing>
              <wp:inline distT="0" distB="0" distL="0" distR="0">
                <wp:extent cx="6172200" cy="3086100"/>
                <wp:effectExtent l="5715" t="4445" r="3810" b="0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257316" y="114365"/>
                            <a:ext cx="2857775" cy="570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C5270F" w:rsidRDefault="00080807" w:rsidP="0008080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5270F">
                                <w:rPr>
                                  <w:b/>
                                </w:rPr>
                                <w:t>ФОРМИ ВЛАСНОСТІ В УКРАЇНІ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028409"/>
                            <a:ext cx="914174" cy="571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C5270F" w:rsidRDefault="00080807" w:rsidP="0008080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2772D">
                                <w:rPr>
                                  <w:i/>
                                  <w:sz w:val="18"/>
                                  <w:szCs w:val="18"/>
                                </w:rPr>
                                <w:t>Індивідуальна (особиста і приватна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42935" y="1028409"/>
                            <a:ext cx="1028554" cy="571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62772D" w:rsidRDefault="00080807" w:rsidP="0008080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2772D">
                                <w:rPr>
                                  <w:i/>
                                  <w:sz w:val="18"/>
                                  <w:szCs w:val="18"/>
                                </w:rPr>
                                <w:t>Колективна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400251" y="1028409"/>
                            <a:ext cx="1257316" cy="571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62772D" w:rsidRDefault="00080807" w:rsidP="0008080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2772D">
                                <w:rPr>
                                  <w:i/>
                                  <w:sz w:val="18"/>
                                  <w:szCs w:val="18"/>
                                </w:rPr>
                                <w:t>Державна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886329" y="1028409"/>
                            <a:ext cx="1828347" cy="571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62772D" w:rsidRDefault="00080807" w:rsidP="0008080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62772D">
                                <w:rPr>
                                  <w:i/>
                                  <w:sz w:val="18"/>
                                  <w:szCs w:val="18"/>
                                </w:rPr>
                                <w:t>Власність іноземних держав, спільних підприємств, іноземних громадян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942453"/>
                            <a:ext cx="799793" cy="3430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C5270F" w:rsidRDefault="00080807" w:rsidP="00080807">
                              <w:pPr>
                                <w:tabs>
                                  <w:tab w:val="left" w:pos="180"/>
                                </w:tabs>
                                <w:ind w:right="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0F">
                                <w:rPr>
                                  <w:sz w:val="16"/>
                                  <w:szCs w:val="16"/>
                                </w:rPr>
                                <w:t>- особиста власність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4174" y="1942453"/>
                            <a:ext cx="1371697" cy="800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Pr="00C5270F" w:rsidRDefault="00080807" w:rsidP="0008080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0"/>
                                  <w:tab w:val="left" w:pos="180"/>
                                </w:tabs>
                                <w:ind w:left="0" w:right="-135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0F">
                                <w:rPr>
                                  <w:sz w:val="16"/>
                                  <w:szCs w:val="16"/>
                                </w:rPr>
                                <w:t>власність  орендованого підприємства;</w:t>
                              </w:r>
                            </w:p>
                            <w:p w:rsidR="00080807" w:rsidRPr="00C5270F" w:rsidRDefault="00080807" w:rsidP="0008080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0"/>
                                  <w:tab w:val="left" w:pos="180"/>
                                </w:tabs>
                                <w:ind w:left="0" w:right="-135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0F">
                                <w:rPr>
                                  <w:sz w:val="16"/>
                                  <w:szCs w:val="16"/>
                                </w:rPr>
                                <w:t>власність кооперативу;</w:t>
                              </w:r>
                            </w:p>
                            <w:p w:rsidR="00080807" w:rsidRPr="00C5270F" w:rsidRDefault="00080807" w:rsidP="00080807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0"/>
                                  <w:tab w:val="left" w:pos="180"/>
                                </w:tabs>
                                <w:ind w:left="0" w:right="-135" w:firstLine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власність громадських організацій.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0251" y="1942453"/>
                            <a:ext cx="1371697" cy="800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left" w:pos="0"/>
                                  <w:tab w:val="left" w:pos="180"/>
                                  <w:tab w:val="left" w:pos="360"/>
                                </w:tabs>
                                <w:ind w:left="0" w:right="45" w:firstLine="1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5270F">
                                <w:rPr>
                                  <w:sz w:val="16"/>
                                  <w:szCs w:val="16"/>
                                </w:rPr>
                                <w:t>загальнодержавна власність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;</w:t>
                              </w:r>
                            </w:p>
                            <w:p w:rsidR="00080807" w:rsidRDefault="00080807" w:rsidP="0008080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left" w:pos="0"/>
                                  <w:tab w:val="left" w:pos="180"/>
                                  <w:tab w:val="left" w:pos="360"/>
                                </w:tabs>
                                <w:ind w:left="0" w:right="45" w:firstLine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комунальна власність;</w:t>
                              </w:r>
                            </w:p>
                            <w:p w:rsidR="00080807" w:rsidRPr="00C5270F" w:rsidRDefault="00080807" w:rsidP="0008080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left" w:pos="0"/>
                                  <w:tab w:val="left" w:pos="180"/>
                                  <w:tab w:val="left" w:pos="360"/>
                                </w:tabs>
                                <w:ind w:left="0" w:right="45" w:firstLine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власність державних організацій.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86329" y="1942453"/>
                            <a:ext cx="2057109" cy="802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0807" w:rsidRDefault="00080807" w:rsidP="0008080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left" w:pos="0"/>
                                  <w:tab w:val="left" w:pos="180"/>
                                  <w:tab w:val="left" w:pos="360"/>
                                </w:tabs>
                                <w:ind w:left="0" w:right="45" w:firstLine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спільні підприємства;</w:t>
                              </w:r>
                            </w:p>
                            <w:p w:rsidR="00080807" w:rsidRDefault="00080807" w:rsidP="0008080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left" w:pos="0"/>
                                  <w:tab w:val="left" w:pos="180"/>
                                  <w:tab w:val="left" w:pos="360"/>
                                </w:tabs>
                                <w:ind w:left="0" w:right="45" w:firstLine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власність іноземних юридичних осіб;</w:t>
                              </w:r>
                            </w:p>
                            <w:p w:rsidR="00080807" w:rsidRPr="00C5270F" w:rsidRDefault="00080807" w:rsidP="00080807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clear" w:pos="720"/>
                                  <w:tab w:val="left" w:pos="0"/>
                                  <w:tab w:val="left" w:pos="180"/>
                                  <w:tab w:val="left" w:pos="360"/>
                                </w:tabs>
                                <w:ind w:left="0" w:right="45" w:firstLine="1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власність іноземних держав та міжнародних організацій для здійснення дипломатичних місій.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857775" y="685315"/>
                            <a:ext cx="114381" cy="343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771949" y="571823"/>
                            <a:ext cx="685412" cy="4565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840" y="685315"/>
                            <a:ext cx="227889" cy="343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031" y="571823"/>
                            <a:ext cx="915047" cy="4565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3143" y="1600232"/>
                            <a:ext cx="0" cy="34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00459" y="1600232"/>
                            <a:ext cx="0" cy="34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972156" y="1600232"/>
                            <a:ext cx="0" cy="34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86122" y="1600232"/>
                            <a:ext cx="0" cy="34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" o:spid="_x0000_s1043" editas="canvas" style="width:486pt;height:243pt;mso-position-horizontal-relative:char;mso-position-vertical-relative:line" coordsize="61722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">
                <v:shape id="_x0000_s1044" type="#_x0000_t75" style="position:absolute;width:61722;height:30861;visibility:visible;mso-wrap-style:square">
                  <v:fill o:detectmouseclick="t"/>
                  <v:path o:connecttype="none"/>
                </v:shape>
                <v:oval id="Oval 21" o:spid="_x0000_s1045" style="position:absolute;left:12573;top:1143;width:28577;height:5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>
                  <v:textbox>
                    <w:txbxContent>
                      <w:p w:rsidR="00080807" w:rsidRPr="00C5270F" w:rsidRDefault="00080807" w:rsidP="00080807">
                        <w:pPr>
                          <w:jc w:val="center"/>
                          <w:rPr>
                            <w:b/>
                          </w:rPr>
                        </w:pPr>
                        <w:r w:rsidRPr="00C5270F">
                          <w:rPr>
                            <w:b/>
                          </w:rPr>
                          <w:t>ФОРМИ ВЛАСНОСТІ В УКРАЇНІ</w:t>
                        </w:r>
                      </w:p>
                    </w:txbxContent>
                  </v:textbox>
                </v:oval>
                <v:rect id="Rectangle 22" o:spid="_x0000_s1046" style="position:absolute;top:10284;width:9141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080807" w:rsidRPr="00C5270F" w:rsidRDefault="00080807" w:rsidP="0008080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2772D">
                          <w:rPr>
                            <w:i/>
                            <w:sz w:val="18"/>
                            <w:szCs w:val="18"/>
                          </w:rPr>
                          <w:t>Індивідуальна (особиста і приватна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3" o:spid="_x0000_s1047" style="position:absolute;left:11429;top:10284;width:10285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080807" w:rsidRPr="0062772D" w:rsidRDefault="00080807" w:rsidP="0008080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2772D">
                          <w:rPr>
                            <w:i/>
                            <w:sz w:val="18"/>
                            <w:szCs w:val="18"/>
                          </w:rPr>
                          <w:t>Колективна</w:t>
                        </w:r>
                      </w:p>
                    </w:txbxContent>
                  </v:textbox>
                </v:rect>
                <v:rect id="Rectangle 24" o:spid="_x0000_s1048" style="position:absolute;left:24002;top:10284;width:12573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080807" w:rsidRPr="0062772D" w:rsidRDefault="00080807" w:rsidP="0008080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2772D">
                          <w:rPr>
                            <w:i/>
                            <w:sz w:val="18"/>
                            <w:szCs w:val="18"/>
                          </w:rPr>
                          <w:t>Державна</w:t>
                        </w:r>
                      </w:p>
                    </w:txbxContent>
                  </v:textbox>
                </v:rect>
                <v:rect id="Rectangle 25" o:spid="_x0000_s1049" style="position:absolute;left:38863;top:10284;width:18283;height:5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080807" w:rsidRPr="0062772D" w:rsidRDefault="00080807" w:rsidP="0008080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62772D">
                          <w:rPr>
                            <w:i/>
                            <w:sz w:val="18"/>
                            <w:szCs w:val="18"/>
                          </w:rPr>
                          <w:t>Власність іноземних держав, спільних підприємств, іноземних громадян</w:t>
                        </w:r>
                      </w:p>
                    </w:txbxContent>
                  </v:textbox>
                </v:rect>
                <v:rect id="Rectangle 26" o:spid="_x0000_s1050" style="position:absolute;top:19424;width:7997;height: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080807" w:rsidRPr="00C5270F" w:rsidRDefault="00080807" w:rsidP="00080807">
                        <w:pPr>
                          <w:tabs>
                            <w:tab w:val="left" w:pos="180"/>
                          </w:tabs>
                          <w:ind w:right="60"/>
                          <w:rPr>
                            <w:sz w:val="16"/>
                            <w:szCs w:val="16"/>
                          </w:rPr>
                        </w:pPr>
                        <w:r w:rsidRPr="00C5270F">
                          <w:rPr>
                            <w:sz w:val="16"/>
                            <w:szCs w:val="16"/>
                          </w:rPr>
                          <w:t>- особиста власність</w:t>
                        </w:r>
                      </w:p>
                    </w:txbxContent>
                  </v:textbox>
                </v:rect>
                <v:rect id="Rectangle 27" o:spid="_x0000_s1051" style="position:absolute;left:9141;top:19424;width:13717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080807" w:rsidRPr="00C5270F" w:rsidRDefault="00080807" w:rsidP="0008080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0"/>
                            <w:tab w:val="left" w:pos="180"/>
                          </w:tabs>
                          <w:ind w:left="0" w:right="-135" w:firstLine="0"/>
                          <w:rPr>
                            <w:sz w:val="16"/>
                            <w:szCs w:val="16"/>
                          </w:rPr>
                        </w:pPr>
                        <w:r w:rsidRPr="00C5270F">
                          <w:rPr>
                            <w:sz w:val="16"/>
                            <w:szCs w:val="16"/>
                          </w:rPr>
                          <w:t>власність  орендованого підприємства;</w:t>
                        </w:r>
                      </w:p>
                      <w:p w:rsidR="00080807" w:rsidRPr="00C5270F" w:rsidRDefault="00080807" w:rsidP="0008080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0"/>
                            <w:tab w:val="left" w:pos="180"/>
                          </w:tabs>
                          <w:ind w:left="0" w:right="-135" w:firstLine="0"/>
                          <w:rPr>
                            <w:sz w:val="16"/>
                            <w:szCs w:val="16"/>
                          </w:rPr>
                        </w:pPr>
                        <w:r w:rsidRPr="00C5270F">
                          <w:rPr>
                            <w:sz w:val="16"/>
                            <w:szCs w:val="16"/>
                          </w:rPr>
                          <w:t>власність кооперативу;</w:t>
                        </w:r>
                      </w:p>
                      <w:p w:rsidR="00080807" w:rsidRPr="00C5270F" w:rsidRDefault="00080807" w:rsidP="00080807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0"/>
                            <w:tab w:val="left" w:pos="180"/>
                          </w:tabs>
                          <w:ind w:left="0" w:right="-135" w:firstLine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власність громадських організацій.</w:t>
                        </w:r>
                      </w:p>
                    </w:txbxContent>
                  </v:textbox>
                </v:rect>
                <v:rect id="Rectangle 28" o:spid="_x0000_s1052" style="position:absolute;left:24002;top:19424;width:13717;height:8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080807" w:rsidRDefault="00080807" w:rsidP="0008080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left" w:pos="0"/>
                            <w:tab w:val="left" w:pos="180"/>
                            <w:tab w:val="left" w:pos="360"/>
                          </w:tabs>
                          <w:ind w:left="0" w:right="45" w:firstLine="180"/>
                          <w:rPr>
                            <w:sz w:val="16"/>
                            <w:szCs w:val="16"/>
                          </w:rPr>
                        </w:pPr>
                        <w:r w:rsidRPr="00C5270F">
                          <w:rPr>
                            <w:sz w:val="16"/>
                            <w:szCs w:val="16"/>
                          </w:rPr>
                          <w:t>загальнодержавна власність</w:t>
                        </w:r>
                        <w:r>
                          <w:rPr>
                            <w:sz w:val="16"/>
                            <w:szCs w:val="16"/>
                          </w:rPr>
                          <w:t>;</w:t>
                        </w:r>
                      </w:p>
                      <w:p w:rsidR="00080807" w:rsidRDefault="00080807" w:rsidP="0008080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left" w:pos="0"/>
                            <w:tab w:val="left" w:pos="180"/>
                            <w:tab w:val="left" w:pos="360"/>
                          </w:tabs>
                          <w:ind w:left="0" w:right="45" w:firstLine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комунальна власність;</w:t>
                        </w:r>
                      </w:p>
                      <w:p w:rsidR="00080807" w:rsidRPr="00C5270F" w:rsidRDefault="00080807" w:rsidP="0008080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left" w:pos="0"/>
                            <w:tab w:val="left" w:pos="180"/>
                            <w:tab w:val="left" w:pos="360"/>
                          </w:tabs>
                          <w:ind w:left="0" w:right="45" w:firstLine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власність державних організацій.</w:t>
                        </w:r>
                      </w:p>
                    </w:txbxContent>
                  </v:textbox>
                </v:rect>
                <v:rect id="Rectangle 29" o:spid="_x0000_s1053" style="position:absolute;left:38863;top:19424;width:20571;height:8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080807" w:rsidRDefault="00080807" w:rsidP="0008080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left" w:pos="0"/>
                            <w:tab w:val="left" w:pos="180"/>
                            <w:tab w:val="left" w:pos="360"/>
                          </w:tabs>
                          <w:ind w:left="0" w:right="45" w:firstLine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спільні підприємства;</w:t>
                        </w:r>
                      </w:p>
                      <w:p w:rsidR="00080807" w:rsidRDefault="00080807" w:rsidP="0008080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left" w:pos="0"/>
                            <w:tab w:val="left" w:pos="180"/>
                            <w:tab w:val="left" w:pos="360"/>
                          </w:tabs>
                          <w:ind w:left="0" w:right="45" w:firstLine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власність іноземних юридичних осіб;</w:t>
                        </w:r>
                      </w:p>
                      <w:p w:rsidR="00080807" w:rsidRPr="00C5270F" w:rsidRDefault="00080807" w:rsidP="00080807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clear" w:pos="720"/>
                            <w:tab w:val="left" w:pos="0"/>
                            <w:tab w:val="left" w:pos="180"/>
                            <w:tab w:val="left" w:pos="360"/>
                          </w:tabs>
                          <w:ind w:left="0" w:right="45" w:firstLine="1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власність іноземних держав та міжнародних організацій для здійснення дипломатичних місій.</w:t>
                        </w:r>
                      </w:p>
                    </w:txbxContent>
                  </v:textbox>
                </v:rect>
                <v:line id="Line 30" o:spid="_x0000_s1054" style="position:absolute;visibility:visible;mso-wrap-style:square" from="28577,6853" to="29721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31" o:spid="_x0000_s1055" style="position:absolute;visibility:visible;mso-wrap-style:square" from="37719,5718" to="44573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32" o:spid="_x0000_s1056" style="position:absolute;flip:x;visibility:visible;mso-wrap-style:square" from="17148,6853" to="19427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33" o:spid="_x0000_s1057" style="position:absolute;flip:x;visibility:visible;mso-wrap-style:square" from="5710,5718" to="14860,10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34" o:spid="_x0000_s1058" style="position:absolute;visibility:visible;mso-wrap-style:square" from="3431,16002" to="3431,19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35" o:spid="_x0000_s1059" style="position:absolute;visibility:visible;mso-wrap-style:square" from="16004,16002" to="16004,19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36" o:spid="_x0000_s1060" style="position:absolute;visibility:visible;mso-wrap-style:square" from="29721,16002" to="29721,19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37" o:spid="_x0000_s1061" style="position:absolute;visibility:visible;mso-wrap-style:square" from="46861,16002" to="46861,19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Схема – Класифікація форм власності в Україні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Перехід від однієї форми власності до іншої можливий проведенням таких процесів, як роздержавлення та приватизація.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Роздержавлення – </w:t>
      </w:r>
      <w:r>
        <w:t>це поняття, що відображає цілий комплекс відносин щодо передачі державної власності в інші форми. Для ефективного роздержавлення повинна бути вирішені такі проблеми:</w:t>
      </w:r>
    </w:p>
    <w:p w:rsidR="00080807" w:rsidRDefault="00080807" w:rsidP="00080807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подолання соціально-економічної монополії держави;</w:t>
      </w:r>
    </w:p>
    <w:p w:rsidR="00080807" w:rsidRDefault="00080807" w:rsidP="00080807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забезпечення альтернативності трудових відносин замість безальтернативного державного найму;</w:t>
      </w:r>
    </w:p>
    <w:p w:rsidR="00080807" w:rsidRDefault="00080807" w:rsidP="00080807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перехід до багатоканальних формувань економічного регулювання;</w:t>
      </w:r>
    </w:p>
    <w:p w:rsidR="00080807" w:rsidRDefault="00080807" w:rsidP="00080807">
      <w:pPr>
        <w:numPr>
          <w:ilvl w:val="0"/>
          <w:numId w:val="10"/>
        </w:numPr>
        <w:autoSpaceDE w:val="0"/>
        <w:autoSpaceDN w:val="0"/>
        <w:adjustRightInd w:val="0"/>
        <w:jc w:val="both"/>
      </w:pPr>
      <w:r>
        <w:t>утворення соціальних гарантій і соціального захисту трудящих.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rPr>
          <w:b/>
          <w:i/>
        </w:rPr>
        <w:t xml:space="preserve">Приватизація – </w:t>
      </w:r>
      <w:r>
        <w:t>це лише етап роздержавлення, який передбачає передання працівника символу власності на частину засобів або продаж їх у приватну власність.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</w:pPr>
      <w:r>
        <w:t>Роздержавлення має проходити такими шляхами:</w:t>
      </w:r>
    </w:p>
    <w:p w:rsidR="00080807" w:rsidRDefault="00080807" w:rsidP="00080807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передача державних підприємств у власність колективу;</w:t>
      </w:r>
    </w:p>
    <w:p w:rsidR="00080807" w:rsidRDefault="00080807" w:rsidP="00080807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розподіл державної власності чи певної її частини між усіма членами суспільства;</w:t>
      </w:r>
    </w:p>
    <w:p w:rsidR="00080807" w:rsidRDefault="00080807" w:rsidP="00080807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продаж державного майна громадянам і недержавним юридичним особам.</w:t>
      </w:r>
    </w:p>
    <w:p w:rsidR="00080807" w:rsidRDefault="00080807" w:rsidP="00080807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>
        <w:rPr>
          <w:b/>
          <w:i/>
        </w:rPr>
        <w:t>Способи приватизації:</w:t>
      </w:r>
    </w:p>
    <w:p w:rsidR="00080807" w:rsidRDefault="00080807" w:rsidP="00080807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rPr>
          <w:i/>
        </w:rPr>
        <w:t xml:space="preserve">викуп об’єктів малої приватизації – </w:t>
      </w:r>
      <w:r>
        <w:t>це спосіб, за яким власником об’єкта стає товариство покупців, створене його працівниками. Цей спосіб приватизації не передбачає конкуренції серед працівників.</w:t>
      </w:r>
    </w:p>
    <w:p w:rsidR="00080807" w:rsidRDefault="00080807" w:rsidP="00080807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rPr>
          <w:i/>
        </w:rPr>
        <w:t xml:space="preserve">викуп державного майна підприємства згідно з альтернативним планом продукції – </w:t>
      </w:r>
      <w:r>
        <w:t>це спосіб приватизації, за яким власником об’єкту стає товариство покупців, яке запропонувало план, альтернативний тому, який розробила комісія з приватизації;</w:t>
      </w:r>
    </w:p>
    <w:p w:rsidR="00080807" w:rsidRDefault="00080807" w:rsidP="00080807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rPr>
          <w:i/>
        </w:rPr>
        <w:t xml:space="preserve">викуп державного майна, зданого в оренду, - </w:t>
      </w:r>
      <w:r>
        <w:t>це спосіб, за яким власником майна стає орендар відповідно до договору оренди;</w:t>
      </w:r>
    </w:p>
    <w:p w:rsidR="00080807" w:rsidRDefault="00080807" w:rsidP="00080807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rPr>
          <w:i/>
        </w:rPr>
        <w:t xml:space="preserve">продаж на аукціоні та за контрактом (конкурсом) – </w:t>
      </w:r>
      <w:r>
        <w:t>це спосіб, за яким власником майна стає покупець, який на аукціоні запропонував максимальну ціну або на конкурсі – найкращі умови для подальшої експлуатації об’єкта, а за рівних умов – найбільшу ціну.</w:t>
      </w:r>
    </w:p>
    <w:p w:rsidR="00080807" w:rsidRPr="0062772D" w:rsidRDefault="00080807" w:rsidP="00080807">
      <w:pPr>
        <w:numPr>
          <w:ilvl w:val="1"/>
          <w:numId w:val="11"/>
        </w:numPr>
        <w:autoSpaceDE w:val="0"/>
        <w:autoSpaceDN w:val="0"/>
        <w:adjustRightInd w:val="0"/>
        <w:jc w:val="both"/>
      </w:pPr>
      <w:r>
        <w:rPr>
          <w:i/>
        </w:rPr>
        <w:t xml:space="preserve">продаж акцій відкритих акціонерних товариств – </w:t>
      </w:r>
      <w:r>
        <w:t xml:space="preserve">це спосіб, за яким власникам акцій державних підприємств, перетворених на ВАТ на конкурсних засадах, стають ті покупці, які запропонували найбільшу ціну за найбільшу кількість акцій після реалізації частини їх на пільгових умовах. </w:t>
      </w:r>
      <w:r>
        <w:rPr>
          <w:i/>
        </w:rPr>
        <w:t xml:space="preserve"> </w:t>
      </w:r>
    </w:p>
    <w:p w:rsidR="00843966" w:rsidRDefault="00843966">
      <w:bookmarkStart w:id="0" w:name="_GoBack"/>
      <w:bookmarkEnd w:id="0"/>
    </w:p>
    <w:sectPr w:rsidR="008439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395E"/>
    <w:multiLevelType w:val="hybridMultilevel"/>
    <w:tmpl w:val="2B2C9AA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0566C28"/>
    <w:multiLevelType w:val="hybridMultilevel"/>
    <w:tmpl w:val="00E6F6B4"/>
    <w:lvl w:ilvl="0" w:tplc="67F490CA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E41EF"/>
    <w:multiLevelType w:val="hybridMultilevel"/>
    <w:tmpl w:val="52CA7080"/>
    <w:lvl w:ilvl="0" w:tplc="3E3AA54E">
      <w:numFmt w:val="bullet"/>
      <w:lvlText w:val="-"/>
      <w:lvlJc w:val="left"/>
      <w:pPr>
        <w:tabs>
          <w:tab w:val="num" w:pos="1181"/>
        </w:tabs>
        <w:ind w:left="897" w:firstLine="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E7731F"/>
    <w:multiLevelType w:val="hybridMultilevel"/>
    <w:tmpl w:val="BF7EB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3AA54E">
      <w:numFmt w:val="bullet"/>
      <w:lvlText w:val="-"/>
      <w:lvlJc w:val="left"/>
      <w:pPr>
        <w:tabs>
          <w:tab w:val="num" w:pos="1904"/>
        </w:tabs>
        <w:ind w:left="1620" w:firstLine="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DA407A0"/>
    <w:multiLevelType w:val="hybridMultilevel"/>
    <w:tmpl w:val="7958A9CC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49A87B89"/>
    <w:multiLevelType w:val="hybridMultilevel"/>
    <w:tmpl w:val="32B80E68"/>
    <w:lvl w:ilvl="0" w:tplc="3E3AA54E">
      <w:numFmt w:val="bullet"/>
      <w:lvlText w:val="-"/>
      <w:lvlJc w:val="left"/>
      <w:pPr>
        <w:tabs>
          <w:tab w:val="num" w:pos="1181"/>
        </w:tabs>
        <w:ind w:left="897" w:firstLine="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F194A48"/>
    <w:multiLevelType w:val="hybridMultilevel"/>
    <w:tmpl w:val="E8F80F62"/>
    <w:lvl w:ilvl="0" w:tplc="3E3AA54E">
      <w:numFmt w:val="bullet"/>
      <w:lvlText w:val="-"/>
      <w:lvlJc w:val="left"/>
      <w:pPr>
        <w:tabs>
          <w:tab w:val="num" w:pos="1181"/>
        </w:tabs>
        <w:ind w:left="897" w:firstLine="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8B1AFF"/>
    <w:multiLevelType w:val="hybridMultilevel"/>
    <w:tmpl w:val="A24CCD1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BBE320F"/>
    <w:multiLevelType w:val="hybridMultilevel"/>
    <w:tmpl w:val="FF16748E"/>
    <w:lvl w:ilvl="0" w:tplc="E97E06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933F4"/>
    <w:multiLevelType w:val="hybridMultilevel"/>
    <w:tmpl w:val="ED10FD9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E97E0674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1F76C7C"/>
    <w:multiLevelType w:val="hybridMultilevel"/>
    <w:tmpl w:val="1FA41F76"/>
    <w:lvl w:ilvl="0" w:tplc="3E3AA54E">
      <w:numFmt w:val="bullet"/>
      <w:lvlText w:val="-"/>
      <w:lvlJc w:val="left"/>
      <w:pPr>
        <w:tabs>
          <w:tab w:val="num" w:pos="1181"/>
        </w:tabs>
        <w:ind w:left="897" w:firstLine="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AC"/>
    <w:rsid w:val="00074EAC"/>
    <w:rsid w:val="00080807"/>
    <w:rsid w:val="008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A460-2363-448B-881E-6B2B7618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6255</Words>
  <Characters>3566</Characters>
  <Application>Microsoft Office Word</Application>
  <DocSecurity>0</DocSecurity>
  <Lines>29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214-anna</dc:creator>
  <cp:keywords/>
  <dc:description/>
  <cp:lastModifiedBy>214-anna</cp:lastModifiedBy>
  <cp:revision>2</cp:revision>
  <dcterms:created xsi:type="dcterms:W3CDTF">2020-10-21T10:33:00Z</dcterms:created>
  <dcterms:modified xsi:type="dcterms:W3CDTF">2020-10-21T10:33:00Z</dcterms:modified>
</cp:coreProperties>
</file>